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49" w:after="4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1012" w:right="533" w:bottom="1184" w:left="1099" w:header="0" w:footer="3" w:gutter="0"/>
          <w:pgNumType w:start="1"/>
          <w:cols w:space="720"/>
          <w:noEndnote/>
          <w:titlePg/>
          <w:rtlGutter w:val="0"/>
          <w:docGrid w:linePitch="360"/>
        </w:sectPr>
      </w:pPr>
    </w:p>
    <w:p>
      <w:pPr>
        <w:pStyle w:val="Style18"/>
        <w:keepNext/>
        <w:keepLines/>
        <w:widowControl w:val="0"/>
        <w:shd w:val="clear" w:color="auto" w:fill="auto"/>
        <w:bidi w:val="0"/>
        <w:spacing w:before="0" w:after="0" w:line="240" w:lineRule="auto"/>
        <w:ind w:left="0" w:right="0"/>
        <w:jc w:val="both"/>
      </w:pPr>
      <w:r>
        <mc:AlternateContent>
          <mc:Choice Requires="wps">
            <w:drawing>
              <wp:anchor distT="0" distB="831850" distL="312420" distR="264160" simplePos="0" relativeHeight="125829378" behindDoc="0" locked="0" layoutInCell="1" allowOverlap="1">
                <wp:simplePos x="0" y="0"/>
                <wp:positionH relativeFrom="page">
                  <wp:posOffset>923925</wp:posOffset>
                </wp:positionH>
                <wp:positionV relativeFrom="paragraph">
                  <wp:posOffset>139700</wp:posOffset>
                </wp:positionV>
                <wp:extent cx="2249170" cy="1713230"/>
                <wp:wrapSquare wrapText="right"/>
                <wp:docPr id="5" name="Shape 5"/>
                <a:graphic xmlns:a="http://schemas.openxmlformats.org/drawingml/2006/main">
                  <a:graphicData uri="http://schemas.microsoft.com/office/word/2010/wordprocessingShape">
                    <wps:wsp>
                      <wps:cNvSpPr txBox="1"/>
                      <wps:spPr>
                        <a:xfrm>
                          <a:ext cx="2249170" cy="1713230"/>
                        </a:xfrm>
                        <a:prstGeom prst="rect"/>
                        <a:noFill/>
                      </wps:spPr>
                      <wps:txbx>
                        <w:txbxContent>
                          <w:p>
                            <w:pPr>
                              <w:pStyle w:val="Style5"/>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9"/>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11"/>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2.75pt;margin-top:11.pt;width:177.09999999999999pt;height:134.90000000000001pt;z-index:-125829375;mso-wrap-distance-left:24.600000000000001pt;mso-wrap-distance-right:20.800000000000001pt;mso-wrap-distance-bottom:65.5pt;mso-position-horizontal-relative:page" filled="f" stroked="f">
                <v:textbox inset="0,0,0,0">
                  <w:txbxContent>
                    <w:p>
                      <w:pPr>
                        <w:pStyle w:val="Style5"/>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9"/>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11"/>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v:textbox>
                <w10:wrap type="square" side="right" anchorx="page"/>
              </v:shape>
            </w:pict>
          </mc:Fallback>
        </mc:AlternateContent>
      </w:r>
      <w:r>
        <w:drawing>
          <wp:anchor distT="2371090" distB="0" distL="117475" distR="114300" simplePos="0" relativeHeight="125829380" behindDoc="0" locked="0" layoutInCell="1" allowOverlap="1">
            <wp:simplePos x="0" y="0"/>
            <wp:positionH relativeFrom="page">
              <wp:posOffset>728980</wp:posOffset>
            </wp:positionH>
            <wp:positionV relativeFrom="paragraph">
              <wp:posOffset>2510790</wp:posOffset>
            </wp:positionV>
            <wp:extent cx="2597150" cy="17653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597150" cy="17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725805</wp:posOffset>
                </wp:positionH>
                <wp:positionV relativeFrom="paragraph">
                  <wp:posOffset>2038350</wp:posOffset>
                </wp:positionV>
                <wp:extent cx="2578735" cy="167640"/>
                <wp:wrapNone/>
                <wp:docPr id="9" name="Shape 9"/>
                <a:graphic xmlns:a="http://schemas.openxmlformats.org/drawingml/2006/main">
                  <a:graphicData uri="http://schemas.microsoft.com/office/word/2010/wordprocessingShape">
                    <wps:wsp>
                      <wps:cNvSpPr txBox="1"/>
                      <wps:spPr>
                        <a:xfrm>
                          <a:ext cx="2578735" cy="1676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5" type="#_x0000_t202" style="position:absolute;margin-left:57.149999999999999pt;margin-top:160.5pt;width:203.05000000000001pt;height:13.200000000000001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bookmarkStart w:id="0" w:name="bookmark0"/>
      <w:r>
        <w:rPr>
          <w:color w:val="000000"/>
          <w:spacing w:val="0"/>
          <w:w w:val="100"/>
          <w:position w:val="0"/>
          <w:sz w:val="24"/>
          <w:szCs w:val="24"/>
          <w:shd w:val="clear" w:color="auto" w:fill="auto"/>
          <w:lang w:val="ru-RU" w:eastAsia="ru-RU" w:bidi="ru-RU"/>
        </w:rPr>
        <w:t>ООО «Строительно-Отделочная Фирма «БаРо»</w:t>
      </w:r>
      <w:bookmarkEnd w:id="0"/>
    </w:p>
    <w:p>
      <w:pPr>
        <w:pStyle w:val="Style18"/>
        <w:keepNext/>
        <w:keepLines/>
        <w:widowControl w:val="0"/>
        <w:shd w:val="clear" w:color="auto" w:fill="auto"/>
        <w:bidi w:val="0"/>
        <w:spacing w:before="0" w:after="0" w:line="240" w:lineRule="auto"/>
        <w:ind w:left="440" w:right="0" w:firstLine="100"/>
        <w:jc w:val="left"/>
      </w:pPr>
      <w:r>
        <w:rPr>
          <w:color w:val="000000"/>
          <w:spacing w:val="0"/>
          <w:w w:val="100"/>
          <w:position w:val="0"/>
          <w:sz w:val="24"/>
          <w:szCs w:val="24"/>
          <w:shd w:val="clear" w:color="auto" w:fill="auto"/>
          <w:lang w:val="ru-RU" w:eastAsia="ru-RU" w:bidi="ru-RU"/>
        </w:rPr>
        <w:t>(далее - Заявитель)</w:t>
      </w:r>
    </w:p>
    <w:p>
      <w:pPr>
        <w:pStyle w:val="Style16"/>
        <w:keepNext w:val="0"/>
        <w:keepLines w:val="0"/>
        <w:widowControl w:val="0"/>
        <w:shd w:val="clear" w:color="auto" w:fill="auto"/>
        <w:bidi w:val="0"/>
        <w:spacing w:before="0" w:after="0" w:line="240" w:lineRule="auto"/>
        <w:ind w:left="440" w:right="0" w:firstLine="100"/>
        <w:jc w:val="left"/>
      </w:pPr>
      <w:r>
        <w:rPr>
          <w:color w:val="000000"/>
          <w:spacing w:val="0"/>
          <w:w w:val="100"/>
          <w:position w:val="0"/>
          <w:sz w:val="24"/>
          <w:szCs w:val="24"/>
          <w:shd w:val="clear" w:color="auto" w:fill="auto"/>
          <w:lang w:val="ru-RU" w:eastAsia="ru-RU" w:bidi="ru-RU"/>
        </w:rPr>
        <w:t>ул. Тургенева, д. 68, г. Нальчик, Кабардино-Балкарская Республика, 360004</w:t>
      </w:r>
    </w:p>
    <w:p>
      <w:pPr>
        <w:pStyle w:val="Style16"/>
        <w:keepNext w:val="0"/>
        <w:keepLines w:val="0"/>
        <w:widowControl w:val="0"/>
        <w:shd w:val="clear" w:color="auto" w:fill="auto"/>
        <w:bidi w:val="0"/>
        <w:spacing w:before="0" w:after="240" w:line="240" w:lineRule="auto"/>
        <w:ind w:left="0" w:right="0" w:firstLine="440"/>
        <w:jc w:val="both"/>
      </w:pPr>
      <w:r>
        <w:rPr>
          <w:color w:val="000000"/>
          <w:spacing w:val="0"/>
          <w:w w:val="100"/>
          <w:position w:val="0"/>
          <w:sz w:val="24"/>
          <w:szCs w:val="24"/>
          <w:shd w:val="clear" w:color="auto" w:fill="auto"/>
          <w:lang w:val="ru-RU" w:eastAsia="ru-RU" w:bidi="ru-RU"/>
        </w:rPr>
        <w:t>ЕтаП: 8ой_Ьаго@таП.ш</w:t>
      </w:r>
    </w:p>
    <w:p>
      <w:pPr>
        <w:pStyle w:val="Style18"/>
        <w:keepNext/>
        <w:keepLines/>
        <w:widowControl w:val="0"/>
        <w:shd w:val="clear" w:color="auto" w:fill="auto"/>
        <w:bidi w:val="0"/>
        <w:spacing w:before="0" w:after="0" w:line="240" w:lineRule="auto"/>
        <w:ind w:left="0" w:right="0"/>
        <w:jc w:val="both"/>
      </w:pPr>
      <w:bookmarkStart w:id="3" w:name="bookmark3"/>
      <w:r>
        <w:rPr>
          <w:color w:val="000000"/>
          <w:spacing w:val="0"/>
          <w:w w:val="100"/>
          <w:position w:val="0"/>
          <w:sz w:val="24"/>
          <w:szCs w:val="24"/>
          <w:shd w:val="clear" w:color="auto" w:fill="auto"/>
          <w:lang w:val="ru-RU" w:eastAsia="ru-RU" w:bidi="ru-RU"/>
        </w:rPr>
        <w:t>ГБУ РО «Городская больница №2» в г. Шахты</w:t>
      </w:r>
      <w:bookmarkEnd w:id="3"/>
    </w:p>
    <w:p>
      <w:pPr>
        <w:pStyle w:val="Style18"/>
        <w:keepNext/>
        <w:keepLines/>
        <w:widowControl w:val="0"/>
        <w:shd w:val="clear" w:color="auto" w:fill="auto"/>
        <w:bidi w:val="0"/>
        <w:spacing w:before="0" w:after="0" w:line="240" w:lineRule="auto"/>
        <w:ind w:left="0" w:right="0"/>
        <w:jc w:val="left"/>
      </w:pPr>
      <w:r>
        <w:rPr>
          <w:color w:val="000000"/>
          <w:spacing w:val="0"/>
          <w:w w:val="100"/>
          <w:position w:val="0"/>
          <w:sz w:val="24"/>
          <w:szCs w:val="24"/>
          <w:shd w:val="clear" w:color="auto" w:fill="auto"/>
          <w:lang w:val="ru-RU" w:eastAsia="ru-RU" w:bidi="ru-RU"/>
        </w:rPr>
        <w:t>(далее - Заказчик)</w:t>
      </w:r>
    </w:p>
    <w:p>
      <w:pPr>
        <w:pStyle w:val="Style16"/>
        <w:keepNext w:val="0"/>
        <w:keepLines w:val="0"/>
        <w:widowControl w:val="0"/>
        <w:shd w:val="clear" w:color="auto" w:fill="auto"/>
        <w:bidi w:val="0"/>
        <w:spacing w:before="0" w:after="0" w:line="240" w:lineRule="auto"/>
        <w:ind w:left="0" w:right="0" w:firstLine="440"/>
        <w:jc w:val="left"/>
      </w:pPr>
      <w:r>
        <w:rPr>
          <w:color w:val="000000"/>
          <w:spacing w:val="0"/>
          <w:w w:val="100"/>
          <w:position w:val="0"/>
          <w:sz w:val="24"/>
          <w:szCs w:val="24"/>
          <w:shd w:val="clear" w:color="auto" w:fill="auto"/>
          <w:lang w:val="ru-RU" w:eastAsia="ru-RU" w:bidi="ru-RU"/>
        </w:rPr>
        <w:t>пер. Острикова, зд. 5А, г. Шахты,</w:t>
      </w:r>
    </w:p>
    <w:p>
      <w:pPr>
        <w:pStyle w:val="Style16"/>
        <w:keepNext w:val="0"/>
        <w:keepLines w:val="0"/>
        <w:widowControl w:val="0"/>
        <w:shd w:val="clear" w:color="auto" w:fill="auto"/>
        <w:bidi w:val="0"/>
        <w:spacing w:before="0" w:after="0" w:line="240" w:lineRule="auto"/>
        <w:ind w:left="0" w:right="0" w:firstLine="440"/>
        <w:jc w:val="left"/>
      </w:pPr>
      <w:r>
        <w:rPr>
          <w:color w:val="000000"/>
          <w:spacing w:val="0"/>
          <w:w w:val="100"/>
          <w:position w:val="0"/>
          <w:sz w:val="24"/>
          <w:szCs w:val="24"/>
          <w:shd w:val="clear" w:color="auto" w:fill="auto"/>
          <w:lang w:val="ru-RU" w:eastAsia="ru-RU" w:bidi="ru-RU"/>
        </w:rPr>
        <w:t>Ростовская область, 346510</w:t>
      </w:r>
    </w:p>
    <w:p>
      <w:pPr>
        <w:pStyle w:val="Style16"/>
        <w:keepNext w:val="0"/>
        <w:keepLines w:val="0"/>
        <w:widowControl w:val="0"/>
        <w:shd w:val="clear" w:color="auto" w:fill="auto"/>
        <w:bidi w:val="0"/>
        <w:spacing w:before="0" w:after="240" w:line="240" w:lineRule="auto"/>
        <w:ind w:left="0" w:right="0" w:firstLine="440"/>
        <w:jc w:val="left"/>
      </w:pPr>
      <w:r>
        <w:rPr>
          <w:color w:val="000000"/>
          <w:spacing w:val="0"/>
          <w:w w:val="100"/>
          <w:position w:val="0"/>
          <w:sz w:val="24"/>
          <w:szCs w:val="24"/>
          <w:shd w:val="clear" w:color="auto" w:fill="auto"/>
          <w:lang w:val="ru-RU" w:eastAsia="ru-RU" w:bidi="ru-RU"/>
        </w:rPr>
        <w:t>ЕтаП: тихдЬ2@таП.ш</w:t>
      </w:r>
    </w:p>
    <w:p>
      <w:pPr>
        <w:pStyle w:val="Style18"/>
        <w:keepNext/>
        <w:keepLines/>
        <w:widowControl w:val="0"/>
        <w:shd w:val="clear" w:color="auto" w:fill="auto"/>
        <w:bidi w:val="0"/>
        <w:spacing w:before="0" w:after="0" w:line="240" w:lineRule="auto"/>
        <w:ind w:left="0" w:right="0"/>
        <w:jc w:val="left"/>
      </w:pPr>
      <w:bookmarkStart w:id="6" w:name="bookmark6"/>
      <w:r>
        <w:rPr>
          <w:color w:val="000000"/>
          <w:spacing w:val="0"/>
          <w:w w:val="100"/>
          <w:position w:val="0"/>
          <w:sz w:val="24"/>
          <w:szCs w:val="24"/>
          <w:shd w:val="clear" w:color="auto" w:fill="auto"/>
          <w:lang w:val="ru-RU" w:eastAsia="ru-RU" w:bidi="ru-RU"/>
        </w:rPr>
        <w:t>ООО «РТС-тендер»</w:t>
      </w:r>
      <w:bookmarkEnd w:id="6"/>
    </w:p>
    <w:p>
      <w:pPr>
        <w:pStyle w:val="Style18"/>
        <w:keepNext/>
        <w:keepLines/>
        <w:widowControl w:val="0"/>
        <w:shd w:val="clear" w:color="auto" w:fill="auto"/>
        <w:bidi w:val="0"/>
        <w:spacing w:before="0" w:after="0" w:line="240" w:lineRule="auto"/>
        <w:ind w:left="0" w:right="0"/>
        <w:jc w:val="left"/>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6"/>
        <w:keepNext w:val="0"/>
        <w:keepLines w:val="0"/>
        <w:widowControl w:val="0"/>
        <w:shd w:val="clear" w:color="auto" w:fill="auto"/>
        <w:bidi w:val="0"/>
        <w:spacing w:before="0" w:after="280" w:line="240" w:lineRule="auto"/>
        <w:ind w:left="0" w:right="0" w:firstLine="440"/>
        <w:jc w:val="left"/>
      </w:pPr>
      <w:r>
        <w:rPr>
          <w:color w:val="000000"/>
          <w:spacing w:val="0"/>
          <w:w w:val="100"/>
          <w:position w:val="0"/>
          <w:sz w:val="24"/>
          <w:szCs w:val="24"/>
          <w:shd w:val="clear" w:color="auto" w:fill="auto"/>
          <w:lang w:val="ru-RU" w:eastAsia="ru-RU" w:bidi="ru-RU"/>
        </w:rPr>
        <w:t>ЕтаП: ко@й8-1епдег.ш</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№061/06/42-4435/2023</w:t>
      </w:r>
    </w:p>
    <w:p>
      <w:pPr>
        <w:pStyle w:val="Style16"/>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81" behindDoc="0" locked="0" layoutInCell="1" allowOverlap="1">
                <wp:simplePos x="0" y="0"/>
                <wp:positionH relativeFrom="page">
                  <wp:posOffset>722630</wp:posOffset>
                </wp:positionH>
                <wp:positionV relativeFrom="paragraph">
                  <wp:posOffset>25400</wp:posOffset>
                </wp:positionV>
                <wp:extent cx="697865" cy="219710"/>
                <wp:wrapSquare wrapText="right"/>
                <wp:docPr id="11" name="Shape 11"/>
                <a:graphic xmlns:a="http://schemas.openxmlformats.org/drawingml/2006/main">
                  <a:graphicData uri="http://schemas.microsoft.com/office/word/2010/wordprocessingShape">
                    <wps:wsp>
                      <wps:cNvSpPr txBox="1"/>
                      <wps:spPr>
                        <a:xfrm>
                          <a:ext cx="697865"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12.12.2023</w:t>
                            </w:r>
                          </w:p>
                        </w:txbxContent>
                      </wps:txbx>
                      <wps:bodyPr wrap="none" lIns="0" tIns="0" rIns="0" bIns="0">
                        <a:noAutoFit/>
                      </wps:bodyPr>
                    </wps:wsp>
                  </a:graphicData>
                </a:graphic>
              </wp:anchor>
            </w:drawing>
          </mc:Choice>
          <mc:Fallback>
            <w:pict>
              <v:shape id="_x0000_s1037" type="#_x0000_t202" style="position:absolute;margin-left:56.899999999999999pt;margin-top:2.pt;width:54.950000000000003pt;height:17.300000000000001pt;z-index:-125829372;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12.12.2023</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16"/>
        <w:keepNext w:val="0"/>
        <w:keepLines w:val="0"/>
        <w:widowControl w:val="0"/>
        <w:shd w:val="clear" w:color="auto" w:fill="auto"/>
        <w:bidi w:val="0"/>
        <w:spacing w:before="0" w:after="240" w:line="240" w:lineRule="auto"/>
        <w:ind w:left="0" w:right="0" w:firstLine="6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keepNext w:val="0"/>
        <w:keepLines w:val="0"/>
        <w:widowControl w:val="0"/>
        <w:shd w:val="clear" w:color="auto" w:fill="auto"/>
        <w:tabs>
          <w:tab w:pos="830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16"/>
        <w:keepNext w:val="0"/>
        <w:keepLines w:val="0"/>
        <w:widowControl w:val="0"/>
        <w:shd w:val="clear" w:color="auto" w:fill="auto"/>
        <w:tabs>
          <w:tab w:pos="830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6"/>
        <w:keepNext w:val="0"/>
        <w:keepLines w:val="0"/>
        <w:widowControl w:val="0"/>
        <w:shd w:val="clear" w:color="auto" w:fill="auto"/>
        <w:bidi w:val="0"/>
        <w:spacing w:before="0" w:after="240" w:line="240" w:lineRule="auto"/>
        <w:ind w:left="0" w:right="0" w:firstLine="540"/>
        <w:jc w:val="both"/>
      </w:pPr>
      <w:r>
        <w:rPr>
          <w:color w:val="000000"/>
          <w:spacing w:val="0"/>
          <w:w w:val="100"/>
          <w:position w:val="0"/>
          <w:sz w:val="24"/>
          <w:szCs w:val="24"/>
          <w:shd w:val="clear" w:color="auto" w:fill="auto"/>
          <w:lang w:val="ru-RU" w:eastAsia="ru-RU" w:bidi="ru-RU"/>
        </w:rPr>
        <w:t>рассмотрев дело №061/06/42-4435/2023 по жалобе Заявителя о нарушении Заказчиком при проведении электронного аукциона №0358300436823000031 «Закупка изделий медицинского назначения (шприцы)»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 Умарова А.В. (доверенность от 16.12.2022 №01/22), представителя Заказчика — Логиновой О.А. (доверенность от 11.12.2023),</w:t>
      </w:r>
    </w:p>
    <w:p>
      <w:pPr>
        <w:pStyle w:val="Style18"/>
        <w:keepNext/>
        <w:keepLines/>
        <w:widowControl w:val="0"/>
        <w:shd w:val="clear" w:color="auto" w:fill="auto"/>
        <w:bidi w:val="0"/>
        <w:spacing w:before="0" w:after="240" w:line="240" w:lineRule="auto"/>
        <w:ind w:left="0" w:right="0" w:firstLine="0"/>
        <w:jc w:val="center"/>
      </w:pPr>
      <w:bookmarkStart w:id="9" w:name="bookmark9"/>
      <w:r>
        <w:rPr>
          <w:color w:val="000000"/>
          <w:spacing w:val="0"/>
          <w:w w:val="100"/>
          <w:position w:val="0"/>
          <w:sz w:val="24"/>
          <w:szCs w:val="24"/>
          <w:shd w:val="clear" w:color="auto" w:fill="auto"/>
          <w:lang w:val="ru-RU" w:eastAsia="ru-RU" w:bidi="ru-RU"/>
        </w:rPr>
        <w:t>УСТАНОВИЛА:</w:t>
      </w:r>
      <w:bookmarkEnd w:id="9"/>
    </w:p>
    <w:p>
      <w:pPr>
        <w:pStyle w:val="Style16"/>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«Городская больница №2» в г. Шахты при разработке извещения к электронному аукциону.</w:t>
      </w:r>
    </w:p>
    <w:p>
      <w:pPr>
        <w:pStyle w:val="Style16"/>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6"/>
        <w:keepNext w:val="0"/>
        <w:keepLines w:val="0"/>
        <w:widowControl w:val="0"/>
        <w:numPr>
          <w:ilvl w:val="0"/>
          <w:numId w:val="1"/>
        </w:numPr>
        <w:shd w:val="clear" w:color="auto" w:fill="auto"/>
        <w:tabs>
          <w:tab w:pos="702"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6"/>
        <w:keepNext w:val="0"/>
        <w:keepLines w:val="0"/>
        <w:widowControl w:val="0"/>
        <w:numPr>
          <w:ilvl w:val="0"/>
          <w:numId w:val="1"/>
        </w:numPr>
        <w:shd w:val="clear" w:color="auto" w:fill="auto"/>
        <w:tabs>
          <w:tab w:pos="702"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указал причины формирования спорных положений описания объекта закупки;</w:t>
      </w:r>
    </w:p>
    <w:p>
      <w:pPr>
        <w:pStyle w:val="Style16"/>
        <w:keepNext w:val="0"/>
        <w:keepLines w:val="0"/>
        <w:widowControl w:val="0"/>
        <w:numPr>
          <w:ilvl w:val="0"/>
          <w:numId w:val="1"/>
        </w:numPr>
        <w:shd w:val="clear" w:color="auto" w:fill="auto"/>
        <w:tabs>
          <w:tab w:pos="702" w:val="left"/>
        </w:tabs>
        <w:bidi w:val="0"/>
        <w:spacing w:before="0" w:after="240" w:line="240" w:lineRule="auto"/>
        <w:ind w:left="0" w:right="0" w:firstLine="44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6"/>
        <w:keepNext w:val="0"/>
        <w:keepLines w:val="0"/>
        <w:widowControl w:val="0"/>
        <w:shd w:val="clear" w:color="auto" w:fill="auto"/>
        <w:bidi w:val="0"/>
        <w:spacing w:before="0" w:after="980" w:line="240" w:lineRule="auto"/>
        <w:ind w:left="0" w:right="0" w:firstLine="4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21"/>
        <w:keepNext/>
        <w:keepLines/>
        <w:widowControl w:val="0"/>
        <w:shd w:val="clear" w:color="auto" w:fill="auto"/>
        <w:bidi w:val="0"/>
        <w:spacing w:before="0" w:line="240" w:lineRule="auto"/>
        <w:ind w:left="0" w:right="0" w:firstLine="0"/>
        <w:jc w:val="both"/>
      </w:pPr>
      <w:bookmarkStart w:id="11" w:name="bookmark11"/>
      <w:r>
        <w:rPr>
          <w:color w:val="000000"/>
          <w:spacing w:val="0"/>
          <w:w w:val="100"/>
          <w:position w:val="0"/>
          <w:shd w:val="clear" w:color="auto" w:fill="auto"/>
          <w:lang w:val="ru-RU" w:eastAsia="ru-RU" w:bidi="ru-RU"/>
        </w:rPr>
        <w:t>111111111111111111111111</w:t>
      </w:r>
      <w:bookmarkEnd w:id="11"/>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28.11.2023, согласно которому:</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- 06.12.2023 09:29 (МСК);</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1 171 819,00 рублей.</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07.12.2023 №ИЭА1, на участие в закупке подана 1 заявки.</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Согласно доводу жалобы Заявителя, при описании объекта закупки по поз.3,5,7 Заказчиком применена ненадлежащая позиция каталога товаров, работ, услуг (далее — КТРУ) 32.50.13.110</w:t>
        <w:softHyphen/>
        <w:t>00004564 «Шприц общего назначения». Так, по мнению Заявителя, описанию объекта закупки соответствует позиция КТРУ 32.50.13.110-00005229 «Шприц для подкожных инъекций с защитой от УФ-излучения».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 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w:t>
      </w:r>
      <w:r>
        <w:fldChar w:fldCharType="begin"/>
      </w:r>
      <w:r>
        <w:rPr/>
        <w:instrText> HYPERLINK "https://www.consultant.ru/document/cons_doc_LAW_443546/0f467e13f3896764e74399c321ab7afee71814ba/%23dst100146" </w:instrText>
      </w:r>
      <w:r>
        <w:fldChar w:fldCharType="separate"/>
      </w:r>
      <w:r>
        <w:rPr>
          <w:color w:val="000000"/>
          <w:spacing w:val="0"/>
          <w:w w:val="100"/>
          <w:position w:val="0"/>
          <w:sz w:val="24"/>
          <w:szCs w:val="24"/>
          <w:shd w:val="clear" w:color="auto" w:fill="auto"/>
          <w:lang w:val="ru-RU" w:eastAsia="ru-RU" w:bidi="ru-RU"/>
        </w:rPr>
        <w:t xml:space="preserve"> правилами </w:t>
      </w:r>
      <w:r>
        <w:fldChar w:fldCharType="end"/>
      </w:r>
      <w:r>
        <w:rPr>
          <w:color w:val="000000"/>
          <w:spacing w:val="0"/>
          <w:w w:val="100"/>
          <w:position w:val="0"/>
          <w:sz w:val="24"/>
          <w:szCs w:val="24"/>
          <w:shd w:val="clear" w:color="auto" w:fill="auto"/>
          <w:lang w:val="ru-RU" w:eastAsia="ru-RU" w:bidi="ru-RU"/>
        </w:rPr>
        <w:t xml:space="preserve">использования каталога товаров, работ, услуг для обеспечения государственных и муниципальных нужд, установленными в соответствии с </w:t>
      </w:r>
      <w:r>
        <w:fldChar w:fldCharType="begin"/>
      </w:r>
      <w:r>
        <w:rPr/>
        <w:instrText> HYPERLINK "https://www.consultant.ru/document/cons_doc_LAW_461099/081ebfc463be2d2e8bda2693d8cd38b2cf0434f9/%23dst100262" </w:instrText>
      </w:r>
      <w:r>
        <w:fldChar w:fldCharType="separate"/>
      </w:r>
      <w:r>
        <w:rPr>
          <w:color w:val="000000"/>
          <w:spacing w:val="0"/>
          <w:w w:val="100"/>
          <w:position w:val="0"/>
          <w:sz w:val="24"/>
          <w:szCs w:val="24"/>
          <w:shd w:val="clear" w:color="auto" w:fill="auto"/>
          <w:lang w:val="ru-RU" w:eastAsia="ru-RU" w:bidi="ru-RU"/>
        </w:rPr>
        <w:t xml:space="preserve">частью 6 статьи 23 </w:t>
      </w:r>
      <w:r>
        <w:fldChar w:fldCharType="end"/>
      </w:r>
      <w:r>
        <w:rPr>
          <w:color w:val="000000"/>
          <w:spacing w:val="0"/>
          <w:w w:val="100"/>
          <w:position w:val="0"/>
          <w:sz w:val="24"/>
          <w:szCs w:val="24"/>
          <w:shd w:val="clear" w:color="auto" w:fill="auto"/>
          <w:lang w:val="ru-RU" w:eastAsia="ru-RU" w:bidi="ru-RU"/>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подпункта "д" пункта 10 Правил формирования каталога код вида медицинского изделия указывается в справочной информации, включенной в позицию каталога, которая не образует описания объекта закупки в понимании статьи 33 Закона и не включена в перечень информации, подлежащей в соответствии с пунктом 4 Правил использования каталога обязательному использованию заказчиком при осуществлении закупки.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6"/>
        <w:keepNext w:val="0"/>
        <w:keepLines w:val="0"/>
        <w:widowControl w:val="0"/>
        <w:numPr>
          <w:ilvl w:val="0"/>
          <w:numId w:val="3"/>
        </w:numPr>
        <w:shd w:val="clear" w:color="auto" w:fill="auto"/>
        <w:tabs>
          <w:tab w:pos="90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Отклоняя довод Заявителя, Комиссия Ростовского УФАС России исходит из следующего.</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Заказчик при описании объекта закупки применил позицию КТРУ 32.50.13.110-00004572 «Шприц общего назначения», согласно справочному описанию которой: </w:t>
      </w:r>
      <w:r>
        <w:rPr>
          <w:i/>
          <w:iCs/>
          <w:color w:val="000000"/>
          <w:spacing w:val="0"/>
          <w:w w:val="100"/>
          <w:position w:val="0"/>
          <w:sz w:val="24"/>
          <w:szCs w:val="24"/>
          <w:shd w:val="clear" w:color="auto" w:fill="auto"/>
          <w:lang w:val="ru-RU" w:eastAsia="ru-RU" w:bidi="ru-RU"/>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w:t>
      </w:r>
      <w:r>
        <w:rPr>
          <w:i/>
          <w:iCs/>
          <w:color w:val="000000"/>
          <w:spacing w:val="0"/>
          <w:w w:val="100"/>
          <w:position w:val="0"/>
          <w:sz w:val="24"/>
          <w:szCs w:val="24"/>
          <w:u w:val="single"/>
          <w:shd w:val="clear" w:color="auto" w:fill="auto"/>
          <w:lang w:val="ru-RU" w:eastAsia="ru-RU" w:bidi="ru-RU"/>
        </w:rPr>
        <w:t>Изделие может применяться в различных медицинских целях и не предназначено специально только лишь для введения лекарственных средств.</w:t>
      </w:r>
      <w:r>
        <w:rPr>
          <w:i/>
          <w:iCs/>
          <w:color w:val="000000"/>
          <w:spacing w:val="0"/>
          <w:w w:val="100"/>
          <w:position w:val="0"/>
          <w:sz w:val="24"/>
          <w:szCs w:val="24"/>
          <w:shd w:val="clear" w:color="auto" w:fill="auto"/>
          <w:lang w:val="ru-RU" w:eastAsia="ru-RU" w:bidi="ru-RU"/>
        </w:rPr>
        <w:t xml:space="preserve">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справочной информации позиции КТРУ 32.50.13.110-00005229 «Шприц для подкожных инъекций с защитой от УФ-излучения», указываемой Заявителем:</w:t>
      </w:r>
    </w:p>
    <w:p>
      <w:pPr>
        <w:pStyle w:val="Style16"/>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«Стерильный инструмент, который </w:t>
      </w:r>
      <w:r>
        <w:rPr>
          <w:i/>
          <w:iCs/>
          <w:color w:val="000000"/>
          <w:spacing w:val="0"/>
          <w:w w:val="100"/>
          <w:position w:val="0"/>
          <w:sz w:val="24"/>
          <w:szCs w:val="24"/>
          <w:u w:val="single"/>
          <w:shd w:val="clear" w:color="auto" w:fill="auto"/>
          <w:lang w:val="ru-RU" w:eastAsia="ru-RU" w:bidi="ru-RU"/>
        </w:rPr>
        <w:t>используется для подкожного введения лекарственных препаратов, чувствительных к ультрафиолетовому (УФ) излучению.</w:t>
      </w:r>
      <w:r>
        <w:rPr>
          <w:i/>
          <w:iCs/>
          <w:color w:val="000000"/>
          <w:spacing w:val="0"/>
          <w:w w:val="100"/>
          <w:position w:val="0"/>
          <w:sz w:val="24"/>
          <w:szCs w:val="24"/>
          <w:shd w:val="clear" w:color="auto" w:fill="auto"/>
          <w:lang w:val="ru-RU" w:eastAsia="ru-RU" w:bidi="ru-RU"/>
        </w:rPr>
        <w:t xml:space="preserve"> Он состоит из калиброванного цилиндра, непрозрачного с целью предотвращения прохождения УФ света, и подвижного поршня, который используется для забора жидких лекарственных препаратов и введения сразу же после наполнения. Дистальный конец цилиндра представляет собой коннектор со штекерным разъемом (обычно типа Луер-лок) для присоединения коннектора с гнездовым разъемом иглы для подкожных инъекций или устройства введения. Он обычно изготавливается из пластмассы/силикона; поршень может иметь антиадгезионную функцию, которая обеспечивает плавное движение поршня, либо вручную, либо с помощью шприцевого насоса. Это устройство одноразового использования».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пояснениям Заказчика, закупаемые шприцы предполагается использовать в различных медицинских целях, в том числе, в поликлиническом отделении для детей, имеющим в своем составе педиатрическое отделение.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шприцы, предназначенные исключительно для подкожного введения, не соответствуют потребности Заказчика.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ч.2 ст.19 Закона,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антимонопольный орган не наделен полномочиями проверять потребность Заказчика для решения возложенных на него задач. Аналогичная правовая позиция изложена в Постановлении Арбитражного суда Северо-Кавказского округа от 10.02.2021 №Ф08- 12521/2020 по делу №А53-13738/2020.</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из анализа ч.4 ст.106 Закона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не представил доказательства, однозначно свидетельствующие о неправомерном применении Заказчиком позиции КТРУ, которой он руководствовался при описании объекта закупки и формировании извещения, ограничении потенциального круга участников закупки и лишении Заявителя возможности подать заявку на участие в аукционе.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Использованная при описании объекта закупки позиция КТРУ 32.50.13.110-00004572 описывает шприцы общего назначения, в связи с чем при описании объекта закупки и использовании указанной позиции КТРУ в действиях Заказчика отсутствуют нарушения ст.23 и 33 Закона.</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Довод жалобы — необоснованный.</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п.5 Правил использования каталога,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которые не предусмотрены в позиции каталога.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Вместе с тем, п.6 Правил использования каталога закрепляет, что в случае предоставления дополнительной информации, предусмотренной п.5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извещению, закупке подлежат товары, в том числе, включенные в КТРУ например, «Шприц инсулиновый/неубираемая игла» КТРУ: 32.50.13.110-03212, «Шприц общего назначения»: код КТРУ 32.50.13.110-00004562 и т. д.</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Заказчик, закупая указанные товары, обязан включить требования, установленные в КТРУ, в описание закупки, а также, в случае установления дополнительных характеристик, обосновать объективную необходимость в таких характеристиках.</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описанию объекта закупки, Заказчиком установлены требования к товарам в соответствии с указанными позициями КТРУ, а также включены характеристики, не предусмотренные КТРУ. При этом, обоснование установления каждой из дополнительных характеристик, Заказчиком не приведено.</w:t>
      </w:r>
    </w:p>
    <w:p>
      <w:pPr>
        <w:pStyle w:val="Style16"/>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таких обстоятельствах, в действиях Заказчика установлено нарушение ч.6 ст.23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ч.1 ст.33 Закона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Заказчиком по поз.1,10,12 описания объекта закупки изложены, в том числе, следующие требования к упаковке товаров «упаковка блистэр», по поз.3,4,8 — «упаковка полибег».</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свою очередь, Комиссия Ростовского УФАС России отмечает следующее.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ч.4 ст.38 Федерального закона от 21.11.2011 №323-ФЗ «Об основах охраны здоровья граждан в Российской Федерации» (ФЗ №323) на территории Российской Федерации разрешается обращение медицинских изделий, зарегистрированных в порядке, установленном </w:t>
      </w:r>
      <w:r>
        <w:rPr>
          <w:color w:val="000000"/>
          <w:spacing w:val="0"/>
          <w:w w:val="100"/>
          <w:position w:val="0"/>
          <w:sz w:val="24"/>
          <w:szCs w:val="24"/>
          <w:shd w:val="clear" w:color="auto" w:fill="auto"/>
          <w:lang w:val="ru-RU" w:eastAsia="ru-RU" w:bidi="ru-RU"/>
        </w:rPr>
        <w:t>Правительством Российской Федерации, уполномоченным им федеральным органом исполнительной власти.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8 статьи 38 ФЗ №323 в целях государственной регистрации медицинских изделий в порядке, установленном уполномоченным федеральным органом исполнительной власти, проводятся оценка соответствия в форме технических испытаний, токсикологических исследований, клинических испытаний и экспертиза качества, эффективности и безопасности медицинских изделий, а также испытания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уполномоченным федеральным органом исполнительной власти).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процессе регистрации медицинского изделия доказываются его качество, эффективность и безопасность. Таким образом факт государственной регистрации медицинского изделия означает его соответствие требованиям качества, эффективности и безопасности в период срока его годности.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ведение которого предусмотрено статьей 38 ФЗ №323, на территории Российской Федерации зарегистрировано более 500 медицинских шприцев различных производителей в различных упаковках, в том числе в упаковках «полибэг» и «блистер».</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Следовательно, все медицинские шприцы, зарегистрированные на территории Российской Федерации, являются качественными, эффективными и безопасными вне зависимости от типа их упаковки.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взаимозаменяемые медицинские шприцы в упаковке «полибэг» и медицинские шприцы в упаковке «блистер» (либо иной упаковке, обеспечивающей качество, эффективность и безопасность непосредственно медицинского изделия) относятся к одному товарному рынку.</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чем, указание государственными и муниципальными заказчиками на необходимость поставки медицинских шприцев в строго определенной упаковке без возможности поставки медицинских шприцев в эквивалентной упаковке может иметь признаки ограничения конкуренции и приводить к сокращению количества участников закупки.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Изложенная позиция подтверждается Письмом ФАС России от 13.04.2017 №ИА/24716/17.</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действия Заказчика, установившего требование о необходимости поставки товаров в строго определенной упаковке без возможности поставки в эквивалентной упаковке, нарушают ч.2 ст.42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1 Постановления Правительства РФ от 19.04.2021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РФ, при условии, что значение начальной (максимальной) цены контракта (цены лота) превышает:</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16"/>
        <w:keepNext w:val="0"/>
        <w:keepLines w:val="0"/>
        <w:widowControl w:val="0"/>
        <w:numPr>
          <w:ilvl w:val="0"/>
          <w:numId w:val="5"/>
        </w:numPr>
        <w:shd w:val="clear" w:color="auto" w:fill="auto"/>
        <w:tabs>
          <w:tab w:pos="79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16"/>
        <w:keepNext w:val="0"/>
        <w:keepLines w:val="0"/>
        <w:widowControl w:val="0"/>
        <w:numPr>
          <w:ilvl w:val="0"/>
          <w:numId w:val="5"/>
        </w:numPr>
        <w:shd w:val="clear" w:color="auto" w:fill="auto"/>
        <w:tabs>
          <w:tab w:pos="79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Приказом Министерства здравоохранения РФ от 06.06.2012 № 4н утверждена номенклатурная классификации медицинских изделий по видам (далее - Классификация). Классификация содержит числовое обозначение вида медицинского изделия - </w:t>
      </w:r>
      <w:r>
        <w:rPr>
          <w:color w:val="000000"/>
          <w:spacing w:val="0"/>
          <w:w w:val="100"/>
          <w:position w:val="0"/>
          <w:sz w:val="24"/>
          <w:szCs w:val="24"/>
          <w:shd w:val="clear" w:color="auto" w:fill="auto"/>
          <w:lang w:val="ru-RU" w:eastAsia="ru-RU" w:bidi="ru-RU"/>
        </w:rPr>
        <w:t>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16"/>
        <w:keepNext w:val="0"/>
        <w:keepLines w:val="0"/>
        <w:widowControl w:val="0"/>
        <w:shd w:val="clear" w:color="auto" w:fill="auto"/>
        <w:bidi w:val="0"/>
        <w:spacing w:before="0" w:after="40" w:line="240" w:lineRule="auto"/>
        <w:ind w:left="0" w:right="0" w:firstLine="580"/>
        <w:jc w:val="both"/>
      </w:pPr>
      <w:r>
        <w:rPr>
          <w:color w:val="000000"/>
          <w:spacing w:val="0"/>
          <w:w w:val="100"/>
          <w:position w:val="0"/>
          <w:sz w:val="24"/>
          <w:szCs w:val="24"/>
          <w:shd w:val="clear" w:color="auto" w:fill="auto"/>
          <w:lang w:val="ru-RU" w:eastAsia="ru-RU" w:bidi="ru-RU"/>
        </w:rPr>
        <w:t>Алгоритм формирования, применяемый для ведения номенклатурной классификации медицинских изделий по видам, представлен на схеме:</w:t>
      </w:r>
    </w:p>
    <w:tbl>
      <w:tblPr>
        <w:tblOverlap w:val="never"/>
        <w:jc w:val="center"/>
        <w:tblLayout w:type="fixed"/>
      </w:tblPr>
      <w:tblGrid>
        <w:gridCol w:w="1565"/>
        <w:gridCol w:w="480"/>
        <w:gridCol w:w="1560"/>
        <w:gridCol w:w="600"/>
        <w:gridCol w:w="4690"/>
      </w:tblGrid>
      <w:tr>
        <w:trPr>
          <w:trHeight w:val="418"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Вид</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both"/>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—&gt;</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Наименование</w:t>
            </w:r>
          </w:p>
        </w:tc>
        <w:tc>
          <w:tcPr>
            <w:tcBorders>
              <w:top w:val="single" w:sz="4"/>
              <w:left w:val="single" w:sz="4"/>
            </w:tcBorders>
            <w:shd w:val="clear" w:color="auto" w:fill="auto"/>
            <w:vAlign w:val="top"/>
          </w:tcPr>
          <w:p>
            <w:pPr>
              <w:pStyle w:val="Style25"/>
              <w:keepNext w:val="0"/>
              <w:keepLines w:val="0"/>
              <w:widowControl w:val="0"/>
              <w:shd w:val="clear" w:color="auto" w:fill="auto"/>
              <w:tabs>
                <w:tab w:leader="hyphen" w:pos="413" w:val="left"/>
              </w:tabs>
              <w:bidi w:val="0"/>
              <w:spacing w:before="0" w:after="0" w:line="240" w:lineRule="auto"/>
              <w:ind w:left="0" w:right="0" w:firstLine="0"/>
              <w:jc w:val="both"/>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ab/>
              <w:t>&gt;</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Классификационные признаки вида</w:t>
            </w:r>
          </w:p>
        </w:tc>
      </w:tr>
      <w:tr>
        <w:trPr>
          <w:trHeight w:val="773" w:hRule="exact"/>
        </w:trPr>
        <w:tc>
          <w:tcPr>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медицинского изделия: ХХХХХХ &lt;*&gt;</w:t>
            </w: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вида медицинского изделия</w:t>
            </w:r>
          </w:p>
        </w:tc>
        <w:tc>
          <w:tcPr>
            <w:tcBorders>
              <w:left w:val="single" w:sz="4"/>
            </w:tcBorders>
            <w:shd w:val="clear" w:color="auto" w:fill="auto"/>
            <w:vAlign w:val="top"/>
          </w:tcPr>
          <w:p>
            <w:pPr>
              <w:widowControl w:val="0"/>
              <w:rPr>
                <w:sz w:val="10"/>
                <w:szCs w:val="10"/>
              </w:rPr>
            </w:pPr>
          </w:p>
        </w:tc>
        <w:tc>
          <w:tcPr>
            <w:vMerge w:val="restart"/>
            <w:tcBorders>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медицинского изделия, указываемые в зависимости от назначения медицинского изделия:</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область применения;</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инвазивность;</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стерильность;</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частота использования (однократного или многократного применения);</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эксплуатационные особенности;</w:t>
            </w:r>
          </w:p>
          <w:p>
            <w:pPr>
              <w:pStyle w:val="Style25"/>
              <w:keepNext w:val="0"/>
              <w:keepLines w:val="0"/>
              <w:widowControl w:val="0"/>
              <w:numPr>
                <w:ilvl w:val="0"/>
                <w:numId w:val="7"/>
              </w:numPr>
              <w:shd w:val="clear" w:color="auto" w:fill="auto"/>
              <w:tabs>
                <w:tab w:pos="240" w:val="left"/>
              </w:tabs>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ru-RU" w:eastAsia="ru-RU" w:bidi="ru-RU"/>
              </w:rPr>
              <w:t>конструктивные особенности.</w:t>
            </w:r>
          </w:p>
        </w:tc>
      </w:tr>
      <w:tr>
        <w:trPr>
          <w:trHeight w:val="1598" w:hRule="exact"/>
        </w:trPr>
        <w:tc>
          <w:tcPr>
            <w:tcBorders>
              <w:top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vMerge/>
            <w:tcBorders>
              <w:left w:val="single" w:sz="4"/>
              <w:bottom w:val="single" w:sz="4"/>
              <w:right w:val="single" w:sz="4"/>
            </w:tcBorders>
            <w:shd w:val="clear" w:color="auto" w:fill="auto"/>
            <w:vAlign w:val="top"/>
          </w:tcPr>
          <w:p>
            <w:pPr/>
          </w:p>
        </w:tc>
      </w:tr>
    </w:tbl>
    <w:p>
      <w:pPr>
        <w:widowControl w:val="0"/>
        <w:spacing w:after="39" w:line="1" w:lineRule="exact"/>
      </w:pPr>
    </w:p>
    <w:p>
      <w:pPr>
        <w:pStyle w:val="Style16"/>
        <w:keepNext w:val="0"/>
        <w:keepLines w:val="0"/>
        <w:widowControl w:val="0"/>
        <w:numPr>
          <w:ilvl w:val="0"/>
          <w:numId w:val="9"/>
        </w:numPr>
        <w:shd w:val="clear" w:color="auto" w:fill="auto"/>
        <w:tabs>
          <w:tab w:pos="89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*&gt; Фиксируется начальное значение 100000 и для каждой последующей записи значение увеличивается на 10.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Классификация медицинских изделий формируется в электронном виде по группам и подгруппам медицинских изделий, размещается на официальном сайте Федеральной службы по надзору в сфере здравоохранения в информационно-телекоммуникационной сети «Интернет» и содержит:</w:t>
      </w:r>
    </w:p>
    <w:p>
      <w:pPr>
        <w:pStyle w:val="Style16"/>
        <w:keepNext w:val="0"/>
        <w:keepLines w:val="0"/>
        <w:widowControl w:val="0"/>
        <w:numPr>
          <w:ilvl w:val="0"/>
          <w:numId w:val="9"/>
        </w:numPr>
        <w:shd w:val="clear" w:color="auto" w:fill="auto"/>
        <w:tabs>
          <w:tab w:pos="83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числовое обозначение вида медицинского изделия - шестизначный идентификационный уникальный номер записи, представленный на сайте в первом столбце таблицы (столбец «Код»);</w:t>
      </w:r>
    </w:p>
    <w:p>
      <w:pPr>
        <w:pStyle w:val="Style16"/>
        <w:keepNext w:val="0"/>
        <w:keepLines w:val="0"/>
        <w:widowControl w:val="0"/>
        <w:numPr>
          <w:ilvl w:val="0"/>
          <w:numId w:val="9"/>
        </w:numPr>
        <w:shd w:val="clear" w:color="auto" w:fill="auto"/>
        <w:tabs>
          <w:tab w:pos="130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вида медицинского изделия (столбец «Наименование»);</w:t>
      </w:r>
    </w:p>
    <w:p>
      <w:pPr>
        <w:pStyle w:val="Style16"/>
        <w:keepNext w:val="0"/>
        <w:keepLines w:val="0"/>
        <w:widowControl w:val="0"/>
        <w:numPr>
          <w:ilvl w:val="0"/>
          <w:numId w:val="9"/>
        </w:numPr>
        <w:shd w:val="clear" w:color="auto" w:fill="auto"/>
        <w:tabs>
          <w:tab w:pos="130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вида медицинского изделия (столбец «Описание»).</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изложенного, Комиссия приходит к выводу, что вид изделия обозначается шестизначным числом, следовательно, медицинские изделия, имеющие различные числовые обозначения, не могут быть предметом одного лота, при превышении Н(М)ЦК, определенной Постановлением Правительства РФ от 19.04.2021 г. № 620.</w:t>
      </w:r>
    </w:p>
    <w:p>
      <w:pPr>
        <w:pStyle w:val="Style16"/>
        <w:keepNext w:val="0"/>
        <w:keepLines w:val="0"/>
        <w:widowControl w:val="0"/>
        <w:shd w:val="clear" w:color="auto" w:fill="auto"/>
        <w:bidi w:val="0"/>
        <w:spacing w:before="0" w:after="40" w:line="240" w:lineRule="auto"/>
        <w:ind w:left="0" w:right="0" w:firstLine="720"/>
        <w:jc w:val="both"/>
      </w:pPr>
      <w:r>
        <w:rPr>
          <w:color w:val="000000"/>
          <w:spacing w:val="0"/>
          <w:w w:val="100"/>
          <w:position w:val="0"/>
          <w:sz w:val="24"/>
          <w:szCs w:val="24"/>
          <w:shd w:val="clear" w:color="auto" w:fill="auto"/>
          <w:lang w:val="ru-RU" w:eastAsia="ru-RU" w:bidi="ru-RU"/>
        </w:rPr>
        <w:t>Аналогичная позиция выражена в Письмах ФАС России от 20.09.2021 № ПИ/79210/21, от 28.09.2021 № ПИ/81715/21.</w:t>
      </w:r>
    </w:p>
    <w:tbl>
      <w:tblPr>
        <w:tblOverlap w:val="never"/>
        <w:jc w:val="center"/>
        <w:tblLayout w:type="fixed"/>
      </w:tblPr>
      <w:tblGrid>
        <w:gridCol w:w="3240"/>
        <w:gridCol w:w="2554"/>
        <w:gridCol w:w="3298"/>
      </w:tblGrid>
      <w:tr>
        <w:trPr>
          <w:trHeight w:val="245" w:hRule="exact"/>
        </w:trPr>
        <w:tc>
          <w:tcPr>
            <w:gridSpan w:val="3"/>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ru-RU" w:eastAsia="ru-RU" w:bidi="ru-RU"/>
              </w:rPr>
              <w:t>Закупаемый товар, согласно извещению, можно представить в следующем виде:</w:t>
            </w:r>
          </w:p>
        </w:tc>
      </w:tr>
      <w:tr>
        <w:trPr>
          <w:trHeight w:val="643"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Код КТРУ</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Код вида изделия, согласно Классификации</w:t>
            </w:r>
          </w:p>
        </w:tc>
      </w:tr>
      <w:tr>
        <w:trPr>
          <w:trHeight w:val="56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w:t>
            </w:r>
          </w:p>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инсулиновый/неубираемая игла</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32.50.13.110-03212</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212430</w:t>
            </w:r>
          </w:p>
        </w:tc>
      </w:tr>
      <w:tr>
        <w:trPr>
          <w:trHeight w:val="288"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 общего назначения</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32.50.13.110-00004562-64</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349160</w:t>
            </w:r>
          </w:p>
        </w:tc>
      </w:tr>
      <w:tr>
        <w:trPr>
          <w:trHeight w:val="288"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 общего назначения</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32.50.13.110-00004568</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349160</w:t>
            </w:r>
          </w:p>
        </w:tc>
      </w:tr>
      <w:tr>
        <w:trPr>
          <w:trHeight w:val="499" w:hRule="exact"/>
        </w:trPr>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Шприц для подкожных инъекций с защитой от УФ-излучения</w:t>
            </w:r>
          </w:p>
        </w:tc>
        <w:tc>
          <w:tcPr>
            <w:tcBorders>
              <w:top w:val="single" w:sz="4"/>
              <w:left w:val="single" w:sz="4"/>
              <w:bottom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32.50.13.110-00005229</w:t>
            </w:r>
          </w:p>
        </w:tc>
        <w:tc>
          <w:tcPr>
            <w:tcBorders>
              <w:top w:val="single" w:sz="4"/>
              <w:left w:val="single" w:sz="4"/>
              <w:bottom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163930</w:t>
            </w:r>
          </w:p>
        </w:tc>
      </w:tr>
    </w:tbl>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 Постановления № 620 однозначно определено, что указанное в п.1 Постановления №620 требование не распространяется:</w:t>
      </w:r>
    </w:p>
    <w:p>
      <w:pPr>
        <w:pStyle w:val="Style16"/>
        <w:keepNext w:val="0"/>
        <w:keepLines w:val="0"/>
        <w:widowControl w:val="0"/>
        <w:numPr>
          <w:ilvl w:val="0"/>
          <w:numId w:val="9"/>
        </w:numPr>
        <w:shd w:val="clear" w:color="auto" w:fill="auto"/>
        <w:tabs>
          <w:tab w:pos="83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w:t>
      </w:r>
    </w:p>
    <w:p>
      <w:pPr>
        <w:pStyle w:val="Style16"/>
        <w:keepNext w:val="0"/>
        <w:keepLines w:val="0"/>
        <w:widowControl w:val="0"/>
        <w:numPr>
          <w:ilvl w:val="0"/>
          <w:numId w:val="9"/>
        </w:numPr>
        <w:shd w:val="clear" w:color="auto" w:fill="auto"/>
        <w:tabs>
          <w:tab w:pos="82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закупках медицинских изделий, объединенных в один лот (контракт) с расходными материалами, которые совместимы с такими медицинскими изделиями;</w:t>
      </w:r>
    </w:p>
    <w:p>
      <w:pPr>
        <w:pStyle w:val="Style16"/>
        <w:keepNext w:val="0"/>
        <w:keepLines w:val="0"/>
        <w:widowControl w:val="0"/>
        <w:numPr>
          <w:ilvl w:val="0"/>
          <w:numId w:val="9"/>
        </w:numPr>
        <w:shd w:val="clear" w:color="auto" w:fill="auto"/>
        <w:tabs>
          <w:tab w:pos="82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111.4 Федерального </w:t>
      </w:r>
      <w:r>
        <w:rPr>
          <w:color w:val="000000"/>
          <w:spacing w:val="0"/>
          <w:w w:val="100"/>
          <w:position w:val="0"/>
          <w:sz w:val="24"/>
          <w:szCs w:val="24"/>
          <w:shd w:val="clear" w:color="auto" w:fill="auto"/>
          <w:lang w:val="ru-RU" w:eastAsia="ru-RU" w:bidi="ru-RU"/>
        </w:rPr>
        <w:t>закона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Ростовского УФАС России приходит к выводу, что п.2 Постановления №620 содержит исчерпывающий перечень условий, при наличии которых возможно несоблюдение требований, установленных данным нормативным актом. В отсутствие каких-либо установленных Правительством Российской Федерации исключений, у Заказчика, равно как и у Комиссии, отсутствуют правовые основания полагать, что такие закупки могут быть проведены без учета требований, установленных Постановлением № 620.</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совокупности изложенного, Комиссия приходит к выводу, что Заказчиком, в нарушение положений Постановления Правительства РФ от 19.04.2021 №620 в один лот закупки включены медицинские изделия различных видов, предусмотренных Классификацией, а также превышено значение начальной (максимальной) цены контракта.</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признает Заказчика нарушившим ч.2 ст.42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Частью 3 ст.14 Закона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ч.4 ст.14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Объектом закупки являются товары, включенные в Приказ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Приказом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№1, приложении №2 к настоящему приказу.</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действия Заказчика в части неприменения национального режима, нарушают ч.3 ст.14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п.16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w:t>
      </w:r>
      <w:r>
        <w:rPr>
          <w:color w:val="000000"/>
          <w:spacing w:val="0"/>
          <w:w w:val="100"/>
          <w:position w:val="0"/>
          <w:sz w:val="24"/>
          <w:szCs w:val="24"/>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ч.4 ст.44 Закона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сформированные Заказчиком требования к обеспечению заявки на участие в аукционе (электронное извещение) ограничивают право участников закупки в предоставлении обеспечения заявки в виде независимой гарантии, предусмотренной статьей 45 Закона.</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Вышеуказанные действия Заказчика являются нарушением ч.1 ст.42 Закона.</w:t>
      </w:r>
    </w:p>
    <w:p>
      <w:pPr>
        <w:pStyle w:val="Style16"/>
        <w:keepNext w:val="0"/>
        <w:keepLines w:val="0"/>
        <w:widowControl w:val="0"/>
        <w:shd w:val="clear" w:color="auto" w:fill="auto"/>
        <w:bidi w:val="0"/>
        <w:spacing w:before="0" w:after="0" w:line="240" w:lineRule="auto"/>
        <w:ind w:left="0" w:right="0" w:firstLine="580"/>
        <w:jc w:val="both"/>
      </w:pPr>
      <w:r>
        <w:fldChar w:fldCharType="begin"/>
      </w:r>
      <w:r>
        <w:rPr/>
        <w:instrText> HYPERLINK "https://login.consultant.ru/link/?req=doc&amp;base=LAW&amp;n=410704&amp;dst=2299" </w:instrText>
      </w:r>
      <w:r>
        <w:fldChar w:fldCharType="separate"/>
      </w:r>
      <w:r>
        <w:rPr>
          <w:color w:val="000000"/>
          <w:spacing w:val="0"/>
          <w:w w:val="100"/>
          <w:position w:val="0"/>
          <w:sz w:val="24"/>
          <w:szCs w:val="24"/>
          <w:shd w:val="clear" w:color="auto" w:fill="auto"/>
          <w:lang w:val="ru-RU" w:eastAsia="ru-RU" w:bidi="ru-RU"/>
        </w:rPr>
        <w:t xml:space="preserve">Пунктом 20 части 1 статьи 42 </w:t>
      </w:r>
      <w:r>
        <w:fldChar w:fldCharType="end"/>
      </w:r>
      <w:r>
        <w:rPr>
          <w:color w:val="000000"/>
          <w:spacing w:val="0"/>
          <w:w w:val="100"/>
          <w:position w:val="0"/>
          <w:sz w:val="24"/>
          <w:szCs w:val="24"/>
          <w:shd w:val="clear" w:color="auto" w:fill="auto"/>
          <w:lang w:val="ru-RU" w:eastAsia="ru-RU" w:bidi="ru-RU"/>
        </w:rPr>
        <w:t>Закона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6"/>
        <w:keepNext w:val="0"/>
        <w:keepLines w:val="0"/>
        <w:widowControl w:val="0"/>
        <w:numPr>
          <w:ilvl w:val="0"/>
          <w:numId w:val="11"/>
        </w:numPr>
        <w:shd w:val="clear" w:color="auto" w:fill="auto"/>
        <w:tabs>
          <w:tab w:pos="79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информация о возможности одностороннего отказа от исполнения контракта в соответствии со</w:t>
      </w:r>
      <w:r>
        <w:fldChar w:fldCharType="begin"/>
      </w:r>
      <w:r>
        <w:rPr/>
        <w:instrText> HYPERLINK "https://login.consultant.ru/link/?req=doc&amp;base=LAW&amp;n=410704&amp;dst=101309" </w:instrText>
      </w:r>
      <w:r>
        <w:fldChar w:fldCharType="separate"/>
      </w:r>
      <w:r>
        <w:rPr>
          <w:color w:val="000000"/>
          <w:spacing w:val="0"/>
          <w:w w:val="100"/>
          <w:position w:val="0"/>
          <w:sz w:val="24"/>
          <w:szCs w:val="24"/>
          <w:shd w:val="clear" w:color="auto" w:fill="auto"/>
          <w:lang w:val="ru-RU" w:eastAsia="ru-RU" w:bidi="ru-RU"/>
        </w:rPr>
        <w:t xml:space="preserve"> статьей 95 </w:t>
      </w:r>
      <w:r>
        <w:fldChar w:fldCharType="end"/>
      </w:r>
      <w:r>
        <w:rPr>
          <w:color w:val="000000"/>
          <w:spacing w:val="0"/>
          <w:w w:val="100"/>
          <w:position w:val="0"/>
          <w:sz w:val="24"/>
          <w:szCs w:val="24"/>
          <w:shd w:val="clear" w:color="auto" w:fill="auto"/>
          <w:lang w:val="ru-RU" w:eastAsia="ru-RU" w:bidi="ru-RU"/>
        </w:rPr>
        <w:t>настоящего Федерального закона;</w:t>
      </w:r>
    </w:p>
    <w:p>
      <w:pPr>
        <w:pStyle w:val="Style16"/>
        <w:keepNext w:val="0"/>
        <w:keepLines w:val="0"/>
        <w:widowControl w:val="0"/>
        <w:shd w:val="clear" w:color="auto" w:fill="auto"/>
        <w:bidi w:val="0"/>
        <w:spacing w:before="0" w:after="160" w:line="240" w:lineRule="auto"/>
        <w:ind w:left="0" w:right="0" w:firstLine="580"/>
        <w:jc w:val="both"/>
      </w:pPr>
      <w:r>
        <w:rPr>
          <w:color w:val="000000"/>
          <w:spacing w:val="0"/>
          <w:w w:val="100"/>
          <w:position w:val="0"/>
          <w:sz w:val="24"/>
          <w:szCs w:val="24"/>
          <w:shd w:val="clear" w:color="auto" w:fill="auto"/>
          <w:lang w:val="ru-RU" w:eastAsia="ru-RU" w:bidi="ru-RU"/>
        </w:rPr>
        <w:t>Так, согласно извещению о проведении закупки, Заказчиком установлено следующее:</w:t>
      </w:r>
    </w:p>
    <w:p>
      <w:pPr>
        <w:pStyle w:val="Style5"/>
        <w:keepNext w:val="0"/>
        <w:keepLines w:val="0"/>
        <w:widowControl w:val="0"/>
        <w:shd w:val="clear" w:color="auto" w:fill="auto"/>
        <w:tabs>
          <w:tab w:pos="8725" w:val="left"/>
        </w:tabs>
        <w:bidi w:val="0"/>
        <w:spacing w:before="0" w:after="0" w:line="288" w:lineRule="auto"/>
        <w:ind w:left="0" w:right="0" w:firstLine="200"/>
        <w:jc w:val="both"/>
      </w:pPr>
      <w:r>
        <w:rPr>
          <w:b/>
          <w:bCs/>
          <w:color w:val="4C4445"/>
          <w:spacing w:val="0"/>
          <w:w w:val="80"/>
          <w:position w:val="0"/>
          <w:shd w:val="clear" w:color="auto" w:fill="auto"/>
          <w:lang w:val="ru-RU" w:eastAsia="ru-RU" w:bidi="ru-RU"/>
        </w:rPr>
        <w:t>Предусмотрена возможность одностороннего отказа от исполнения контракта в соответствии со ст. 95</w:t>
        <w:tab/>
        <w:t>„</w:t>
      </w:r>
    </w:p>
    <w:p>
      <w:pPr>
        <w:pStyle w:val="Style5"/>
        <w:keepNext w:val="0"/>
        <w:keepLines w:val="0"/>
        <w:widowControl w:val="0"/>
        <w:shd w:val="clear" w:color="auto" w:fill="auto"/>
        <w:bidi w:val="0"/>
        <w:spacing w:before="0" w:after="0" w:line="288" w:lineRule="auto"/>
        <w:ind w:left="0" w:right="0" w:firstLine="200"/>
        <w:jc w:val="both"/>
      </w:pPr>
      <w:r>
        <w:rPr>
          <w:b/>
          <w:bCs/>
          <w:color w:val="4C4445"/>
          <w:spacing w:val="0"/>
          <w:w w:val="80"/>
          <w:position w:val="0"/>
          <w:shd w:val="clear" w:color="auto" w:fill="auto"/>
          <w:lang w:val="ru-RU" w:eastAsia="ru-RU" w:bidi="ru-RU"/>
        </w:rPr>
        <w:t>Закона №44-ФЗ</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силу п.7.1 проекта договора расторжение контракта допускается:</w:t>
      </w:r>
    </w:p>
    <w:p>
      <w:pPr>
        <w:pStyle w:val="Style16"/>
        <w:keepNext w:val="0"/>
        <w:keepLines w:val="0"/>
        <w:widowControl w:val="0"/>
        <w:numPr>
          <w:ilvl w:val="0"/>
          <w:numId w:val="11"/>
        </w:numPr>
        <w:shd w:val="clear" w:color="auto" w:fill="auto"/>
        <w:tabs>
          <w:tab w:pos="122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соглашению сторон; по решению суда;</w:t>
      </w:r>
    </w:p>
    <w:p>
      <w:pPr>
        <w:pStyle w:val="Style16"/>
        <w:keepNext w:val="0"/>
        <w:keepLines w:val="0"/>
        <w:widowControl w:val="0"/>
        <w:numPr>
          <w:ilvl w:val="0"/>
          <w:numId w:val="11"/>
        </w:numPr>
        <w:shd w:val="clear" w:color="auto" w:fill="auto"/>
        <w:tabs>
          <w:tab w:pos="785"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односторонне отказом стороны договора от исполнения договора в соответствии с гражданским законодательством.</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Ростовского УФАС России приходит к выводу, что действия Заказчика, установившего противоречивые условия о возможности одностороннего отказа от исполнения контракта, нарушают требования</w:t>
      </w:r>
      <w:r>
        <w:fldChar w:fldCharType="begin"/>
      </w:r>
      <w:r>
        <w:rPr/>
        <w:instrText> HYPERLINK "https://login.consultant.ru/link/?req=doc&amp;base=LAW&amp;n=410704&amp;dst=2299" </w:instrText>
      </w:r>
      <w:r>
        <w:fldChar w:fldCharType="separate"/>
      </w:r>
      <w:r>
        <w:rPr>
          <w:color w:val="000000"/>
          <w:spacing w:val="0"/>
          <w:w w:val="100"/>
          <w:position w:val="0"/>
          <w:sz w:val="24"/>
          <w:szCs w:val="24"/>
          <w:shd w:val="clear" w:color="auto" w:fill="auto"/>
          <w:lang w:val="ru-RU" w:eastAsia="ru-RU" w:bidi="ru-RU"/>
        </w:rPr>
        <w:t xml:space="preserve"> п.20 ч.1 ст.42 </w:t>
      </w:r>
      <w:r>
        <w:fldChar w:fldCharType="end"/>
      </w:r>
      <w:r>
        <w:rPr>
          <w:color w:val="000000"/>
          <w:spacing w:val="0"/>
          <w:w w:val="100"/>
          <w:position w:val="0"/>
          <w:sz w:val="24"/>
          <w:szCs w:val="24"/>
          <w:shd w:val="clear" w:color="auto" w:fill="auto"/>
          <w:lang w:val="ru-RU" w:eastAsia="ru-RU" w:bidi="ru-RU"/>
        </w:rPr>
        <w:t>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ч.5 ст.42 Закона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6"/>
        <w:keepNext w:val="0"/>
        <w:keepLines w:val="0"/>
        <w:widowControl w:val="0"/>
        <w:shd w:val="clear" w:color="auto" w:fill="auto"/>
        <w:bidi w:val="0"/>
        <w:spacing w:before="0" w:after="200" w:line="240" w:lineRule="auto"/>
        <w:ind w:left="0" w:right="0" w:firstLine="580"/>
        <w:jc w:val="both"/>
      </w:pPr>
      <w:r>
        <w:rPr>
          <w:color w:val="000000"/>
          <w:spacing w:val="0"/>
          <w:w w:val="100"/>
          <w:position w:val="0"/>
          <w:sz w:val="24"/>
          <w:szCs w:val="24"/>
          <w:shd w:val="clear" w:color="auto" w:fill="auto"/>
          <w:lang w:val="ru-RU" w:eastAsia="ru-RU" w:bidi="ru-RU"/>
        </w:rPr>
        <w:t>Установлено, что 01.12.2023 участником закупки направлен запрос о даче разъяснений положений извещения.</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данное Заказчиком разъяснение положений извещения о закупке, Комиссия Ростовского УФАС России приходит к выводу о нарушении Заказчиком ч.5 ст.42 Закона, поскольку в нарушение указанной нормы, в ответе на запрос о даче разъяснений отсутствует указание на предмет такого запроса.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ч.2 ст.34 Закона извещение об осуществлении закупки, если иное не предусмотрено настоящим Федеральным законом, должно содержать, помимо прочего, проект контракта.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Частью 4 ст.34 Закона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Постановлением Правительства РФ от 30.08.2017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п.2 Правил, размер штрафа устанавливается контрактом в соответствии с пунктами 3 - 9 настоящих Правил, за исключением случая, предусмотренного пунктом 13 настоящих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изложенными положениями законодательства, Заказчик обязан включить в проект контракта порядок начисления штрафов в случае ненадлежащего исполнения обязательств по контракта в порядке, определенном Правилами.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извещении об осуществлении закупки установлено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проектом договора не установлен размер штрафа, начисляемого за неисполнение или ненадлежащее исполнение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(п.4 Правил):</w:t>
      </w:r>
    </w:p>
    <w:p>
      <w:pPr>
        <w:pStyle w:val="Style16"/>
        <w:keepNext w:val="0"/>
        <w:keepLines w:val="0"/>
        <w:widowControl w:val="0"/>
        <w:numPr>
          <w:ilvl w:val="0"/>
          <w:numId w:val="11"/>
        </w:numPr>
        <w:shd w:val="clear" w:color="auto" w:fill="auto"/>
        <w:tabs>
          <w:tab w:pos="7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 штрафа устанавливается в размере 1 процента цены контракта (этапа), но не более 5 тыс. рублей и не менее 1 тыс. рублей.</w:t>
      </w:r>
    </w:p>
    <w:p>
      <w:pPr>
        <w:pStyle w:val="Style16"/>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Таким образом, установив ненадлежащий порядок начисления штрафов за ненадлежащее исполнение обязательств по контракту, Заказчик нарушил ч.8 ст.34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w:t>
      </w:r>
      <w:r>
        <w:fldChar w:fldCharType="begin"/>
      </w:r>
      <w:r>
        <w:rPr/>
        <w:instrText> HYPERLINK "https://login.consultant.ru/link/?req=doc&amp;base=LAW&amp;n=415391&amp;dst=100400" </w:instrText>
      </w:r>
      <w:r>
        <w:fldChar w:fldCharType="separate"/>
      </w:r>
      <w:r>
        <w:rPr>
          <w:color w:val="000000"/>
          <w:spacing w:val="0"/>
          <w:w w:val="100"/>
          <w:position w:val="0"/>
          <w:sz w:val="24"/>
          <w:szCs w:val="24"/>
          <w:shd w:val="clear" w:color="auto" w:fill="auto"/>
          <w:lang w:val="ru-RU" w:eastAsia="ru-RU" w:bidi="ru-RU"/>
        </w:rPr>
        <w:t xml:space="preserve"> ст. 34</w:t>
      </w:r>
      <w:r>
        <w:fldChar w:fldCharType="end"/>
      </w:r>
      <w:r>
        <w:rPr>
          <w:color w:val="000000"/>
          <w:spacing w:val="0"/>
          <w:w w:val="100"/>
          <w:position w:val="0"/>
          <w:sz w:val="24"/>
          <w:szCs w:val="24"/>
          <w:shd w:val="clear" w:color="auto" w:fill="auto"/>
          <w:lang w:val="ru-RU" w:eastAsia="ru-RU" w:bidi="ru-RU"/>
        </w:rPr>
        <w:t xml:space="preserve"> Закона: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13. В контракт включаются обязательные условия:</w:t>
      </w:r>
    </w:p>
    <w:p>
      <w:pPr>
        <w:pStyle w:val="Style16"/>
        <w:keepNext w:val="0"/>
        <w:keepLines w:val="0"/>
        <w:widowControl w:val="0"/>
        <w:numPr>
          <w:ilvl w:val="0"/>
          <w:numId w:val="1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w:t>
      </w:r>
      <w:r>
        <w:rPr>
          <w:color w:val="000000"/>
          <w:spacing w:val="0"/>
          <w:w w:val="100"/>
          <w:position w:val="0"/>
          <w:sz w:val="24"/>
          <w:szCs w:val="24"/>
          <w:shd w:val="clear" w:color="auto" w:fill="auto"/>
          <w:lang w:val="ru-RU" w:eastAsia="ru-RU" w:bidi="ru-RU"/>
        </w:rPr>
        <w:t>обязательств в случае установления в соответствии со</w:t>
      </w:r>
      <w:r>
        <w:fldChar w:fldCharType="begin"/>
      </w:r>
      <w:r>
        <w:rPr/>
        <w:instrText> HYPERLINK "https://login.consultant.ru/link/?req=doc&amp;base=LAW&amp;n=415391&amp;dst=101344" </w:instrText>
      </w:r>
      <w:r>
        <w:fldChar w:fldCharType="separate"/>
      </w:r>
      <w:r>
        <w:rPr>
          <w:color w:val="000000"/>
          <w:spacing w:val="0"/>
          <w:w w:val="100"/>
          <w:position w:val="0"/>
          <w:sz w:val="24"/>
          <w:szCs w:val="24"/>
          <w:shd w:val="clear" w:color="auto" w:fill="auto"/>
          <w:lang w:val="ru-RU" w:eastAsia="ru-RU" w:bidi="ru-RU"/>
        </w:rPr>
        <w:t xml:space="preserve"> статьей 96 </w:t>
      </w:r>
      <w:r>
        <w:fldChar w:fldCharType="end"/>
      </w:r>
      <w:r>
        <w:rPr>
          <w:color w:val="000000"/>
          <w:spacing w:val="0"/>
          <w:w w:val="100"/>
          <w:position w:val="0"/>
          <w:sz w:val="24"/>
          <w:szCs w:val="24"/>
          <w:shd w:val="clear" w:color="auto" w:fill="auto"/>
          <w:lang w:val="ru-RU" w:eastAsia="ru-RU" w:bidi="ru-RU"/>
        </w:rPr>
        <w:t>настоящего Федерального закона требования обеспечения гарантийных обязательств;</w:t>
      </w:r>
    </w:p>
    <w:p>
      <w:pPr>
        <w:pStyle w:val="Style16"/>
        <w:keepNext w:val="0"/>
        <w:keepLines w:val="0"/>
        <w:widowControl w:val="0"/>
        <w:numPr>
          <w:ilvl w:val="0"/>
          <w:numId w:val="13"/>
        </w:numPr>
        <w:shd w:val="clear" w:color="auto" w:fill="auto"/>
        <w:tabs>
          <w:tab w:pos="907"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16"/>
        <w:keepNext w:val="0"/>
        <w:keepLines w:val="0"/>
        <w:widowControl w:val="0"/>
        <w:numPr>
          <w:ilvl w:val="0"/>
          <w:numId w:val="15"/>
        </w:numPr>
        <w:shd w:val="clear" w:color="auto" w:fill="auto"/>
        <w:tabs>
          <w:tab w:pos="99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Если заказчиком в соответствии с </w:t>
      </w:r>
      <w:r>
        <w:fldChar w:fldCharType="begin"/>
      </w:r>
      <w:r>
        <w:rPr/>
        <w:instrText> HYPERLINK "https://login.consultant.ru/link/?req=doc&amp;base=LAW&amp;n=415391&amp;dst=3028" </w:instrText>
      </w:r>
      <w:r>
        <w:fldChar w:fldCharType="separate"/>
      </w:r>
      <w:r>
        <w:rPr>
          <w:color w:val="000000"/>
          <w:spacing w:val="0"/>
          <w:w w:val="100"/>
          <w:position w:val="0"/>
          <w:sz w:val="24"/>
          <w:szCs w:val="24"/>
          <w:shd w:val="clear" w:color="auto" w:fill="auto"/>
          <w:lang w:val="ru-RU" w:eastAsia="ru-RU" w:bidi="ru-RU"/>
        </w:rPr>
        <w:t xml:space="preserve">частью 1 статьи 96 </w:t>
      </w:r>
      <w:r>
        <w:fldChar w:fldCharType="end"/>
      </w:r>
      <w:r>
        <w:rPr>
          <w:color w:val="000000"/>
          <w:spacing w:val="0"/>
          <w:w w:val="100"/>
          <w:position w:val="0"/>
          <w:sz w:val="24"/>
          <w:szCs w:val="24"/>
          <w:shd w:val="clear" w:color="auto" w:fill="auto"/>
          <w:lang w:val="ru-RU" w:eastAsia="ru-RU" w:bidi="ru-RU"/>
        </w:rPr>
        <w:t>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w:t>
      </w:r>
      <w:r>
        <w:fldChar w:fldCharType="begin"/>
      </w:r>
      <w:r>
        <w:rPr/>
        <w:instrText> HYPERLINK "https://login.consultant.ru/link/?req=doc&amp;base=LAW&amp;n=415391&amp;dst=12099" </w:instrText>
      </w:r>
      <w:r>
        <w:fldChar w:fldCharType="separate"/>
      </w:r>
      <w:r>
        <w:rPr>
          <w:color w:val="000000"/>
          <w:spacing w:val="0"/>
          <w:w w:val="100"/>
          <w:position w:val="0"/>
          <w:sz w:val="24"/>
          <w:szCs w:val="24"/>
          <w:shd w:val="clear" w:color="auto" w:fill="auto"/>
          <w:lang w:val="ru-RU" w:eastAsia="ru-RU" w:bidi="ru-RU"/>
        </w:rPr>
        <w:t xml:space="preserve">ч.13 ст.94 </w:t>
      </w:r>
      <w:r>
        <w:fldChar w:fldCharType="end"/>
      </w:r>
      <w:r>
        <w:rPr>
          <w:color w:val="000000"/>
          <w:spacing w:val="0"/>
          <w:w w:val="100"/>
          <w:position w:val="0"/>
          <w:sz w:val="24"/>
          <w:szCs w:val="24"/>
          <w:shd w:val="clear" w:color="auto" w:fill="auto"/>
          <w:lang w:val="ru-RU" w:eastAsia="ru-RU" w:bidi="ru-RU"/>
        </w:rPr>
        <w:t xml:space="preserve">Закона осуществление приемки поставленного товара (выполненной работы, оказанной услуги) оформляется с обязательным использованием единой информационной системы (далее — ЕИС) в сфере закупок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в случае, предусмотренном </w:t>
      </w:r>
      <w:r>
        <w:fldChar w:fldCharType="begin"/>
      </w:r>
      <w:r>
        <w:rPr/>
        <w:instrText> HYPERLINK "https://login.consultant.ru/link/?req=doc&amp;base=LAW&amp;n=415391&amp;dst=12017" </w:instrText>
      </w:r>
      <w:r>
        <w:fldChar w:fldCharType="separate"/>
      </w:r>
      <w:r>
        <w:rPr>
          <w:color w:val="000000"/>
          <w:spacing w:val="0"/>
          <w:w w:val="100"/>
          <w:position w:val="0"/>
          <w:sz w:val="24"/>
          <w:szCs w:val="24"/>
          <w:shd w:val="clear" w:color="auto" w:fill="auto"/>
          <w:lang w:val="ru-RU" w:eastAsia="ru-RU" w:bidi="ru-RU"/>
        </w:rPr>
        <w:t xml:space="preserve">пунктом 5 части 11 статьи 24 </w:t>
      </w:r>
      <w:r>
        <w:fldChar w:fldCharType="end"/>
      </w:r>
      <w:r>
        <w:rPr>
          <w:color w:val="000000"/>
          <w:spacing w:val="0"/>
          <w:w w:val="100"/>
          <w:position w:val="0"/>
          <w:sz w:val="24"/>
          <w:szCs w:val="24"/>
          <w:shd w:val="clear" w:color="auto" w:fill="auto"/>
          <w:lang w:val="ru-RU" w:eastAsia="ru-RU" w:bidi="ru-RU"/>
        </w:rPr>
        <w:t>Закона.</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 xml:space="preserve">В то же время, в проекте договора отсутствует обязательное условие, предусмотренное ч.13 ст.34 Закона, равно как и обязательство поставщика согласно </w:t>
      </w:r>
      <w:r>
        <w:fldChar w:fldCharType="begin"/>
      </w:r>
      <w:r>
        <w:rPr/>
        <w:instrText> HYPERLINK "https://login.consultant.ru/link/?req=doc&amp;base=LAW&amp;n=415391&amp;dst=2254" </w:instrText>
      </w:r>
      <w:r>
        <w:fldChar w:fldCharType="separate"/>
      </w:r>
      <w:r>
        <w:rPr>
          <w:color w:val="000000"/>
          <w:spacing w:val="0"/>
          <w:w w:val="100"/>
          <w:position w:val="0"/>
          <w:sz w:val="24"/>
          <w:szCs w:val="24"/>
          <w:shd w:val="clear" w:color="auto" w:fill="auto"/>
          <w:lang w:val="ru-RU" w:eastAsia="ru-RU" w:bidi="ru-RU"/>
        </w:rPr>
        <w:t xml:space="preserve">ч.30 ст.34 </w:t>
      </w:r>
      <w:r>
        <w:fldChar w:fldCharType="end"/>
      </w:r>
      <w:r>
        <w:rPr>
          <w:color w:val="000000"/>
          <w:spacing w:val="0"/>
          <w:w w:val="100"/>
          <w:position w:val="0"/>
          <w:sz w:val="24"/>
          <w:szCs w:val="24"/>
          <w:shd w:val="clear" w:color="auto" w:fill="auto"/>
          <w:lang w:val="ru-RU" w:eastAsia="ru-RU" w:bidi="ru-RU"/>
        </w:rPr>
        <w:t xml:space="preserve">Закона. Порядок приемки поставленного товара, определенный Заказчиком в разделе 8 проекта договора (Требование и порядок приемки продукции) не предусматривает оформление такой приемки с использованием ЕИС, что нарушает </w:t>
      </w:r>
      <w:r>
        <w:fldChar w:fldCharType="begin"/>
      </w:r>
      <w:r>
        <w:rPr/>
        <w:instrText> HYPERLINK "https://login.consultant.ru/link/?req=doc&amp;base=LAW&amp;n=415391&amp;dst=2241" </w:instrText>
      </w:r>
      <w:r>
        <w:fldChar w:fldCharType="separate"/>
      </w:r>
      <w:r>
        <w:rPr>
          <w:color w:val="000000"/>
          <w:spacing w:val="0"/>
          <w:w w:val="100"/>
          <w:position w:val="0"/>
          <w:sz w:val="24"/>
          <w:szCs w:val="24"/>
          <w:shd w:val="clear" w:color="auto" w:fill="auto"/>
          <w:lang w:val="ru-RU" w:eastAsia="ru-RU" w:bidi="ru-RU"/>
        </w:rPr>
        <w:t xml:space="preserve">ч.13 ст.34 </w:t>
      </w:r>
      <w:r>
        <w:fldChar w:fldCharType="end"/>
      </w:r>
      <w:r>
        <w:rPr>
          <w:color w:val="000000"/>
          <w:spacing w:val="0"/>
          <w:w w:val="100"/>
          <w:position w:val="0"/>
          <w:sz w:val="24"/>
          <w:szCs w:val="24"/>
          <w:shd w:val="clear" w:color="auto" w:fill="auto"/>
          <w:lang w:val="ru-RU" w:eastAsia="ru-RU" w:bidi="ru-RU"/>
        </w:rPr>
        <w:t>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п.5 ч.2 ст.42 Закона извещение об осуществлении закупки, если иное не предусмотрено настоящим Федеральным законом, должно содержать проект контракта.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силу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w:t>
      </w:r>
      <w:r>
        <w:rPr>
          <w:color w:val="000000"/>
          <w:spacing w:val="0"/>
          <w:w w:val="100"/>
          <w:position w:val="0"/>
          <w:sz w:val="24"/>
          <w:szCs w:val="24"/>
          <w:u w:val="single"/>
          <w:shd w:val="clear" w:color="auto" w:fill="auto"/>
          <w:lang w:val="ru-RU" w:eastAsia="ru-RU" w:bidi="ru-RU"/>
        </w:rPr>
        <w:t>такой обмен осуществляется с использованием единой информационной системы путем направления электронных уведомлений.</w:t>
      </w:r>
      <w:r>
        <w:rPr>
          <w:color w:val="000000"/>
          <w:spacing w:val="0"/>
          <w:w w:val="100"/>
          <w:position w:val="0"/>
          <w:sz w:val="24"/>
          <w:szCs w:val="24"/>
          <w:shd w:val="clear" w:color="auto" w:fill="auto"/>
          <w:lang w:val="ru-RU" w:eastAsia="ru-RU" w:bidi="ru-RU"/>
        </w:rPr>
        <w:t xml:space="preserve">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вышеуказанной нормой Закона не предусмотрена возможность обмена документами при применении мер ответственности любыми иными способами помимо формирования уведомлений с помощью единой информационной системы.</w:t>
      </w:r>
    </w:p>
    <w:p>
      <w:pPr>
        <w:pStyle w:val="Style16"/>
        <w:keepNext w:val="0"/>
        <w:keepLines w:val="0"/>
        <w:widowControl w:val="0"/>
        <w:shd w:val="clear" w:color="auto" w:fill="auto"/>
        <w:bidi w:val="0"/>
        <w:spacing w:before="0" w:after="180" w:line="240" w:lineRule="auto"/>
        <w:ind w:left="0" w:right="0" w:firstLine="600"/>
        <w:jc w:val="both"/>
      </w:pPr>
      <w:r>
        <w:rPr>
          <w:color w:val="000000"/>
          <w:spacing w:val="0"/>
          <w:w w:val="100"/>
          <w:position w:val="0"/>
          <w:sz w:val="24"/>
          <w:szCs w:val="24"/>
          <w:shd w:val="clear" w:color="auto" w:fill="auto"/>
          <w:lang w:val="ru-RU" w:eastAsia="ru-RU" w:bidi="ru-RU"/>
        </w:rPr>
        <w:t xml:space="preserve">Между тем, в нарушение ч.2 ст.42 Закона, проектом контракта не определен порядок взаимодействия сторон при применении мер ответственности и совершении иных действий </w:t>
      </w:r>
      <w:r>
        <w:rPr>
          <w:color w:val="000000"/>
          <w:spacing w:val="0"/>
          <w:w w:val="100"/>
          <w:position w:val="0"/>
          <w:sz w:val="24"/>
          <w:szCs w:val="24"/>
          <w:shd w:val="clear" w:color="auto" w:fill="auto"/>
          <w:lang w:val="ru-RU" w:eastAsia="ru-RU" w:bidi="ru-RU"/>
        </w:rPr>
        <w:t>в связи с нарушением поставщиком (подрядчиком, исполнителем) или заказчиком условий контракта с учетом положений ч.16 ст.94 Закона.</w:t>
      </w:r>
    </w:p>
    <w:p>
      <w:pPr>
        <w:pStyle w:val="Style16"/>
        <w:keepNext w:val="0"/>
        <w:keepLines w:val="0"/>
        <w:widowControl w:val="0"/>
        <w:shd w:val="clear" w:color="auto" w:fill="auto"/>
        <w:bidi w:val="0"/>
        <w:spacing w:before="0" w:after="0" w:line="259" w:lineRule="auto"/>
        <w:ind w:left="0" w:right="0" w:firstLine="580"/>
        <w:jc w:val="both"/>
        <w:rPr>
          <w:sz w:val="22"/>
          <w:szCs w:val="22"/>
        </w:rPr>
      </w:pPr>
      <w:r>
        <w:rPr>
          <w:color w:val="000000"/>
          <w:spacing w:val="0"/>
          <w:w w:val="100"/>
          <w:position w:val="0"/>
          <w:sz w:val="22"/>
          <w:szCs w:val="22"/>
          <w:shd w:val="clear" w:color="auto" w:fill="auto"/>
          <w:lang w:val="ru-RU" w:eastAsia="ru-RU" w:bidi="ru-RU"/>
        </w:rPr>
        <w:t>На основании Постановления Правительства РФ от 26.08.2013г. № 728, в соответствии с ч.15 ст.99,</w:t>
      </w:r>
    </w:p>
    <w:p>
      <w:pPr>
        <w:pStyle w:val="Style16"/>
        <w:keepNext w:val="0"/>
        <w:keepLines w:val="0"/>
        <w:widowControl w:val="0"/>
        <w:shd w:val="clear" w:color="auto" w:fill="auto"/>
        <w:bidi w:val="0"/>
        <w:spacing w:before="0" w:after="0" w:line="259" w:lineRule="auto"/>
        <w:ind w:left="0" w:right="0" w:firstLine="0"/>
        <w:jc w:val="left"/>
        <w:rPr>
          <w:sz w:val="22"/>
          <w:szCs w:val="22"/>
        </w:rPr>
      </w:pPr>
      <w:r>
        <w:rPr>
          <w:color w:val="000000"/>
          <w:spacing w:val="0"/>
          <w:w w:val="100"/>
          <w:position w:val="0"/>
          <w:sz w:val="22"/>
          <w:szCs w:val="22"/>
          <w:shd w:val="clear" w:color="auto" w:fill="auto"/>
          <w:lang w:val="ru-RU" w:eastAsia="ru-RU" w:bidi="ru-RU"/>
        </w:rPr>
        <w:t>ч.8 ст.106 Закона,</w:t>
      </w:r>
    </w:p>
    <w:p>
      <w:pPr>
        <w:pStyle w:val="Style18"/>
        <w:keepNext/>
        <w:keepLines/>
        <w:widowControl w:val="0"/>
        <w:shd w:val="clear" w:color="auto" w:fill="auto"/>
        <w:bidi w:val="0"/>
        <w:spacing w:before="0" w:after="240" w:line="240" w:lineRule="auto"/>
        <w:ind w:left="0" w:right="0" w:firstLine="0"/>
        <w:jc w:val="center"/>
      </w:pPr>
      <w:bookmarkStart w:id="13" w:name="bookmark13"/>
      <w:r>
        <w:rPr>
          <w:color w:val="000000"/>
          <w:spacing w:val="0"/>
          <w:w w:val="100"/>
          <w:position w:val="0"/>
          <w:sz w:val="24"/>
          <w:szCs w:val="24"/>
          <w:shd w:val="clear" w:color="auto" w:fill="auto"/>
          <w:lang w:val="ru-RU" w:eastAsia="ru-RU" w:bidi="ru-RU"/>
        </w:rPr>
        <w:t>РЕШИЛА:</w:t>
      </w:r>
      <w:bookmarkEnd w:id="13"/>
    </w:p>
    <w:p>
      <w:pPr>
        <w:pStyle w:val="Style16"/>
        <w:keepNext w:val="0"/>
        <w:keepLines w:val="0"/>
        <w:widowControl w:val="0"/>
        <w:numPr>
          <w:ilvl w:val="0"/>
          <w:numId w:val="17"/>
        </w:numPr>
        <w:shd w:val="clear" w:color="auto" w:fill="auto"/>
        <w:tabs>
          <w:tab w:pos="914" w:val="left"/>
        </w:tabs>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Признать жалобу ООО «Строительно-Отделочная Фирма «БаРо» необоснованной.</w:t>
      </w:r>
    </w:p>
    <w:p>
      <w:pPr>
        <w:pStyle w:val="Style16"/>
        <w:keepNext w:val="0"/>
        <w:keepLines w:val="0"/>
        <w:widowControl w:val="0"/>
        <w:numPr>
          <w:ilvl w:val="0"/>
          <w:numId w:val="17"/>
        </w:numPr>
        <w:shd w:val="clear" w:color="auto" w:fill="auto"/>
        <w:tabs>
          <w:tab w:pos="938" w:val="left"/>
        </w:tabs>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Признать Заказчика нарушившим ч.3 ст.14, ч.6 ст.23, ч.ч.8,13 ст.34, ч.ч.1,2,5 ст.42 Закона.</w:t>
      </w:r>
    </w:p>
    <w:p>
      <w:pPr>
        <w:pStyle w:val="Style16"/>
        <w:keepNext w:val="0"/>
        <w:keepLines w:val="0"/>
        <w:widowControl w:val="0"/>
        <w:numPr>
          <w:ilvl w:val="0"/>
          <w:numId w:val="17"/>
        </w:numPr>
        <w:shd w:val="clear" w:color="auto" w:fill="auto"/>
        <w:tabs>
          <w:tab w:pos="925"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устранении допущенных нарушений путем отмены сформированных протоколов, аннулировании спорной закупки</w:t>
      </w:r>
    </w:p>
    <w:p>
      <w:pPr>
        <w:pStyle w:val="Style16"/>
        <w:keepNext w:val="0"/>
        <w:keepLines w:val="0"/>
        <w:widowControl w:val="0"/>
        <w:numPr>
          <w:ilvl w:val="0"/>
          <w:numId w:val="17"/>
        </w:numPr>
        <w:shd w:val="clear" w:color="auto" w:fill="auto"/>
        <w:tabs>
          <w:tab w:pos="925"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5"/>
        <w:keepNext w:val="0"/>
        <w:keepLines w:val="0"/>
        <w:widowControl w:val="0"/>
        <w:shd w:val="clear" w:color="auto" w:fill="auto"/>
        <w:bidi w:val="0"/>
        <w:spacing w:before="0" w:after="300" w:line="257" w:lineRule="auto"/>
        <w:ind w:left="0" w:right="0" w:firstLine="5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6"/>
        <w:keepNext w:val="0"/>
        <w:keepLines w:val="0"/>
        <w:widowControl w:val="0"/>
        <w:shd w:val="clear" w:color="auto" w:fill="auto"/>
        <w:bidi w:val="0"/>
        <w:spacing w:before="0" w:after="0" w:line="240" w:lineRule="auto"/>
        <w:ind w:left="0" w:right="0" w:firstLine="0"/>
        <w:jc w:val="left"/>
      </w:pPr>
      <w:r>
        <w:fldChar w:fldCharType="begin"/>
      </w:r>
      <w:r>
        <w:rPr/>
        <w:instrText> HYPERLINK "https://login.consultant.ru/link/?req=doc&amp;base=LAW&amp;n=415391&amp;dst=2241"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p>
      <w:pPr>
        <w:pStyle w:val="Style16"/>
        <w:keepNext w:val="0"/>
        <w:keepLines w:val="0"/>
        <w:widowControl w:val="0"/>
        <w:shd w:val="clear" w:color="auto" w:fill="auto"/>
        <w:bidi w:val="0"/>
        <w:spacing w:before="0" w:after="0" w:line="240" w:lineRule="auto"/>
        <w:ind w:left="0" w:right="0" w:firstLine="0"/>
        <w:jc w:val="right"/>
      </w:pPr>
      <w:r>
        <w:fldChar w:fldCharType="begin"/>
      </w:r>
      <w:r>
        <w:rPr/>
        <w:instrText> HYPERLINK "https://login.consultant.ru/link/?req=doc&amp;base=LAW&amp;n=415391&amp;dst=2241" </w:instrText>
      </w:r>
      <w:r>
        <w:fldChar w:fldCharType="separate"/>
      </w:r>
      <w:r>
        <w:rPr>
          <w:color w:val="000000"/>
          <w:spacing w:val="0"/>
          <w:w w:val="100"/>
          <w:position w:val="0"/>
          <w:sz w:val="24"/>
          <w:szCs w:val="24"/>
          <w:shd w:val="clear" w:color="auto" w:fill="auto"/>
          <w:lang w:val="ru-RU" w:eastAsia="ru-RU" w:bidi="ru-RU"/>
        </w:rPr>
        <w:t>М.А. Благодарев</w:t>
      </w:r>
      <w:r>
        <w:fldChar w:fldCharType="end"/>
      </w:r>
    </w:p>
    <w:p>
      <w:pPr>
        <w:pStyle w:val="Style33"/>
        <w:keepNext w:val="0"/>
        <w:keepLines w:val="0"/>
        <w:widowControl w:val="0"/>
        <w:shd w:val="clear" w:color="auto" w:fill="auto"/>
        <w:bidi w:val="0"/>
        <w:spacing w:before="0" w:line="180" w:lineRule="auto"/>
        <w:ind w:right="0" w:firstLine="0"/>
        <w:jc w:val="left"/>
      </w:pPr>
      <w:r>
        <w:rPr>
          <w:spacing w:val="0"/>
          <w:w w:val="100"/>
          <w:position w:val="0"/>
          <w:shd w:val="clear" w:color="auto" w:fill="auto"/>
          <w:lang w:val="ru-RU" w:eastAsia="ru-RU" w:bidi="ru-RU"/>
        </w:rPr>
        <w:t>Мест дня । [одлис и:</w:t>
      </w:r>
    </w:p>
    <w:p>
      <w:pPr>
        <w:pStyle w:val="Style35"/>
        <w:keepNext/>
        <w:keepLines/>
        <w:widowControl w:val="0"/>
        <w:shd w:val="clear" w:color="auto" w:fill="auto"/>
        <w:bidi w:val="0"/>
        <w:spacing w:before="0" w:after="300" w:line="240" w:lineRule="auto"/>
        <w:ind w:right="0" w:firstLine="0"/>
        <w:jc w:val="left"/>
      </w:pPr>
      <w:bookmarkStart w:id="15" w:name="bookmark15"/>
      <w:r>
        <w:rPr>
          <w:spacing w:val="0"/>
          <w:w w:val="100"/>
          <w:position w:val="0"/>
          <w:shd w:val="clear" w:color="auto" w:fill="auto"/>
          <w:lang w:val="ru-RU" w:eastAsia="ru-RU" w:bidi="ru-RU"/>
        </w:rPr>
        <w:t>Бпагодареы М. А.</w:t>
      </w:r>
      <w:bookmarkEnd w:id="15"/>
    </w:p>
    <w:p>
      <w:pPr>
        <w:pStyle w:val="Style16"/>
        <w:keepNext w:val="0"/>
        <w:keepLines w:val="0"/>
        <w:widowControl w:val="0"/>
        <w:shd w:val="clear" w:color="auto" w:fill="auto"/>
        <w:bidi w:val="0"/>
        <w:spacing w:before="0" w:after="100" w:line="240" w:lineRule="auto"/>
        <w:ind w:left="0" w:right="0" w:firstLine="0"/>
        <w:jc w:val="left"/>
      </w:pPr>
      <w:r>
        <w:fldChar w:fldCharType="begin"/>
      </w:r>
      <w:r>
        <w:rPr/>
        <w:instrText> HYPERLINK "https://login.consultant.ru/link/?req=doc&amp;base=LAW&amp;n=415391&amp;dst=2241"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pStyle w:val="Style16"/>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p>
      <w:pPr>
        <w:pStyle w:val="Style33"/>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Мост для подписи:</w:t>
      </w:r>
    </w:p>
    <w:p>
      <w:pPr>
        <w:pStyle w:val="Style35"/>
        <w:keepNext/>
        <w:keepLines/>
        <w:widowControl w:val="0"/>
        <w:shd w:val="clear" w:color="auto" w:fill="auto"/>
        <w:bidi w:val="0"/>
        <w:spacing w:before="0" w:line="240" w:lineRule="auto"/>
        <w:ind w:right="0" w:firstLine="0"/>
        <w:jc w:val="left"/>
      </w:pPr>
      <w:bookmarkStart w:id="17" w:name="bookmark17"/>
      <w:r>
        <w:rPr>
          <w:spacing w:val="0"/>
          <w:w w:val="100"/>
          <w:position w:val="0"/>
          <w:shd w:val="clear" w:color="auto" w:fill="auto"/>
          <w:lang w:val="ru-RU" w:eastAsia="ru-RU" w:bidi="ru-RU"/>
        </w:rPr>
        <w:t>ЕвСЕрЭ1ОнЯ С. А.</w:t>
      </w:r>
      <w:bookmarkEnd w:id="17"/>
    </w:p>
    <w:p>
      <w:pPr>
        <w:pStyle w:val="Style16"/>
        <w:keepNext w:val="0"/>
        <w:keepLines w:val="0"/>
        <w:widowControl w:val="0"/>
        <w:shd w:val="clear" w:color="auto" w:fill="auto"/>
        <w:bidi w:val="0"/>
        <w:spacing w:before="0" w:after="18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33"/>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Мост для подписи:</w:t>
      </w:r>
    </w:p>
    <w:p>
      <w:pPr>
        <w:pStyle w:val="Style35"/>
        <w:keepNext/>
        <w:keepLines/>
        <w:widowControl w:val="0"/>
        <w:shd w:val="clear" w:color="auto" w:fill="auto"/>
        <w:bidi w:val="0"/>
        <w:spacing w:before="0" w:after="4400" w:line="240" w:lineRule="auto"/>
        <w:ind w:right="0" w:firstLine="0"/>
        <w:jc w:val="left"/>
      </w:pPr>
      <w:bookmarkStart w:id="19" w:name="bookmark19"/>
      <w:r>
        <w:rPr>
          <w:spacing w:val="0"/>
          <w:w w:val="100"/>
          <w:position w:val="0"/>
          <w:shd w:val="clear" w:color="auto" w:fill="auto"/>
          <w:lang w:val="ru-RU" w:eastAsia="ru-RU" w:bidi="ru-RU"/>
        </w:rPr>
        <w:t>ВерПлй А. А.</w:t>
      </w:r>
      <w:bookmarkEnd w:id="19"/>
    </w:p>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Исп.Вертий А.А.</w:t>
      </w:r>
    </w:p>
    <w:p>
      <w:pPr>
        <w:pStyle w:val="Style37"/>
        <w:keepNext w:val="0"/>
        <w:keepLines w:val="0"/>
        <w:widowControl w:val="0"/>
        <w:shd w:val="clear" w:color="auto" w:fill="auto"/>
        <w:bidi w:val="0"/>
        <w:spacing w:before="0" w:after="220" w:line="233" w:lineRule="auto"/>
        <w:ind w:left="0" w:right="0" w:firstLine="0"/>
        <w:jc w:val="left"/>
      </w:pPr>
      <w:r>
        <w:rPr>
          <w:color w:val="000000"/>
          <w:spacing w:val="0"/>
          <w:w w:val="100"/>
          <w:position w:val="0"/>
          <w:shd w:val="clear" w:color="auto" w:fill="auto"/>
          <w:lang w:val="ru-RU" w:eastAsia="ru-RU" w:bidi="ru-RU"/>
        </w:rPr>
        <w:t>тел.(863) 240-86-88, вн.061-132</w:t>
      </w:r>
    </w:p>
    <w:sectPr>
      <w:footnotePr>
        <w:pos w:val="pageBottom"/>
        <w:numFmt w:val="decimal"/>
        <w:numRestart w:val="continuous"/>
      </w:footnotePr>
      <w:type w:val="continuous"/>
      <w:pgSz w:w="11900" w:h="16840"/>
      <w:pgMar w:top="1012" w:right="533" w:bottom="1184"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10005060</wp:posOffset>
              </wp:positionV>
              <wp:extent cx="3307080" cy="106680"/>
              <wp:wrapNone/>
              <wp:docPr id="1" name="Shape 1"/>
              <a:graphic xmlns:a="http://schemas.openxmlformats.org/drawingml/2006/main">
                <a:graphicData uri="http://schemas.microsoft.com/office/word/2010/wordprocessingShape">
                  <wps:wsp>
                    <wps:cNvSpPr txBox="1"/>
                    <wps:spPr>
                      <a:xfrm>
                        <a:ext cx="3307080" cy="106680"/>
                      </a:xfrm>
                      <a:prstGeom prst="rect"/>
                      <a:noFill/>
                    </wps:spPr>
                    <wps:txbx>
                      <w:txbxContent>
                        <w:p>
                          <w:pPr>
                            <w:pStyle w:val="Style2"/>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2023-23664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7.80000000000007pt;width:260.39999999999998pt;height:8.40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2023-23664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10005060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2023-23664</w:t>
                          </w:r>
                        </w:p>
                      </w:txbxContent>
                    </wps:txbx>
                    <wps:bodyPr wrap="none" lIns="0" tIns="0" rIns="0" bIns="0">
                      <a:spAutoFit/>
                    </wps:bodyPr>
                  </wps:wsp>
                </a:graphicData>
              </a:graphic>
            </wp:anchor>
          </w:drawing>
        </mc:Choice>
        <mc:Fallback>
          <w:pict>
            <v:shape id="_x0000_s1029" type="#_x0000_t202" style="position:absolute;margin-left:57.149999999999999pt;margin-top:787.80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2023-23664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Courier New" w:eastAsia="Courier New" w:hAnsi="Courier New" w:cs="Courier New"/>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30"/>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12">
    <w:name w:val="Основной текст (6)_"/>
    <w:basedOn w:val="DefaultParagraphFont"/>
    <w:link w:val="Style11"/>
    <w:rPr>
      <w:rFonts w:ascii="Arial" w:eastAsia="Arial" w:hAnsi="Arial" w:cs="Arial"/>
      <w:b/>
      <w:bCs/>
      <w:i w:val="0"/>
      <w:iCs w:val="0"/>
      <w:smallCaps w:val="0"/>
      <w:strike w:val="0"/>
      <w:color w:val="202020"/>
      <w:sz w:val="10"/>
      <w:szCs w:val="10"/>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4561A3"/>
      <w:sz w:val="20"/>
      <w:szCs w:val="2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3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34">
    <w:name w:val="Основной текст (4)_"/>
    <w:basedOn w:val="DefaultParagraphFont"/>
    <w:link w:val="Style33"/>
    <w:rPr>
      <w:rFonts w:ascii="Arial" w:eastAsia="Arial" w:hAnsi="Arial" w:cs="Arial"/>
      <w:b/>
      <w:bCs/>
      <w:i w:val="0"/>
      <w:iCs w:val="0"/>
      <w:smallCaps w:val="0"/>
      <w:strike w:val="0"/>
      <w:color w:val="898888"/>
      <w:sz w:val="22"/>
      <w:szCs w:val="22"/>
      <w:u w:val="none"/>
    </w:rPr>
  </w:style>
  <w:style w:type="character" w:customStyle="1" w:styleId="CharStyle36">
    <w:name w:val="Заголовок №2_"/>
    <w:basedOn w:val="DefaultParagraphFont"/>
    <w:link w:val="Style35"/>
    <w:rPr>
      <w:rFonts w:ascii="Arial" w:eastAsia="Arial" w:hAnsi="Arial" w:cs="Arial"/>
      <w:b/>
      <w:bCs/>
      <w:i w:val="0"/>
      <w:iCs w:val="0"/>
      <w:smallCaps w:val="0"/>
      <w:strike w:val="0"/>
      <w:color w:val="898888"/>
      <w:sz w:val="26"/>
      <w:szCs w:val="26"/>
      <w:u w:val="none"/>
    </w:rPr>
  </w:style>
  <w:style w:type="character" w:customStyle="1" w:styleId="CharStyle38">
    <w:name w:val="Основной текст (5)_"/>
    <w:basedOn w:val="DefaultParagraphFont"/>
    <w:link w:val="Style37"/>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200" w:line="266" w:lineRule="auto"/>
      <w:ind w:firstLine="1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3)"/>
    <w:basedOn w:val="Normal"/>
    <w:link w:val="CharStyle10"/>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11">
    <w:name w:val="Основной текст (6)"/>
    <w:basedOn w:val="Normal"/>
    <w:link w:val="CharStyle12"/>
    <w:pPr>
      <w:widowControl w:val="0"/>
      <w:shd w:val="clear" w:color="auto" w:fill="auto"/>
      <w:spacing w:after="120" w:line="252" w:lineRule="auto"/>
      <w:ind w:firstLine="320"/>
    </w:pPr>
    <w:rPr>
      <w:rFonts w:ascii="Arial" w:eastAsia="Arial" w:hAnsi="Arial" w:cs="Arial"/>
      <w:b/>
      <w:bCs/>
      <w:i w:val="0"/>
      <w:iCs w:val="0"/>
      <w:smallCaps w:val="0"/>
      <w:strike w:val="0"/>
      <w:color w:val="202020"/>
      <w:sz w:val="10"/>
      <w:szCs w:val="10"/>
      <w:u w:val="none"/>
    </w:rPr>
  </w:style>
  <w:style w:type="paragraph" w:customStyle="1" w:styleId="Style14">
    <w:name w:val="Подпись к картинке"/>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color w:val="4561A3"/>
      <w:sz w:val="20"/>
      <w:szCs w:val="20"/>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3"/>
    <w:basedOn w:val="Normal"/>
    <w:link w:val="CharStyle19"/>
    <w:pPr>
      <w:widowControl w:val="0"/>
      <w:shd w:val="clear" w:color="auto" w:fill="auto"/>
      <w:ind w:firstLine="440"/>
      <w:outlineLvl w:val="2"/>
    </w:pPr>
    <w:rPr>
      <w:rFonts w:ascii="Times New Roman" w:eastAsia="Times New Roman" w:hAnsi="Times New Roman" w:cs="Times New Roman"/>
      <w:b/>
      <w:bCs/>
      <w:i w:val="0"/>
      <w:iCs w:val="0"/>
      <w:smallCaps w:val="0"/>
      <w:strike w:val="0"/>
      <w:u w:val="none"/>
    </w:rPr>
  </w:style>
  <w:style w:type="paragraph" w:customStyle="1" w:styleId="Style21">
    <w:name w:val="Заголовок №1"/>
    <w:basedOn w:val="Normal"/>
    <w:link w:val="CharStyle22"/>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3">
    <w:name w:val="Основной текст (4)"/>
    <w:basedOn w:val="Normal"/>
    <w:link w:val="CharStyle34"/>
    <w:pPr>
      <w:widowControl w:val="0"/>
      <w:shd w:val="clear" w:color="auto" w:fill="auto"/>
      <w:spacing w:after="100" w:line="259" w:lineRule="auto"/>
      <w:ind w:left="3380"/>
    </w:pPr>
    <w:rPr>
      <w:rFonts w:ascii="Arial" w:eastAsia="Arial" w:hAnsi="Arial" w:cs="Arial"/>
      <w:b/>
      <w:bCs/>
      <w:i w:val="0"/>
      <w:iCs w:val="0"/>
      <w:smallCaps w:val="0"/>
      <w:strike w:val="0"/>
      <w:color w:val="898888"/>
      <w:sz w:val="22"/>
      <w:szCs w:val="22"/>
      <w:u w:val="none"/>
    </w:rPr>
  </w:style>
  <w:style w:type="paragraph" w:customStyle="1" w:styleId="Style35">
    <w:name w:val="Заголовок №2"/>
    <w:basedOn w:val="Normal"/>
    <w:link w:val="CharStyle36"/>
    <w:pPr>
      <w:widowControl w:val="0"/>
      <w:shd w:val="clear" w:color="auto" w:fill="auto"/>
      <w:spacing w:after="580"/>
      <w:ind w:left="3380"/>
      <w:outlineLvl w:val="1"/>
    </w:pPr>
    <w:rPr>
      <w:rFonts w:ascii="Arial" w:eastAsia="Arial" w:hAnsi="Arial" w:cs="Arial"/>
      <w:b/>
      <w:bCs/>
      <w:i w:val="0"/>
      <w:iCs w:val="0"/>
      <w:smallCaps w:val="0"/>
      <w:strike w:val="0"/>
      <w:color w:val="898888"/>
      <w:sz w:val="26"/>
      <w:szCs w:val="26"/>
      <w:u w:val="none"/>
    </w:rPr>
  </w:style>
  <w:style w:type="paragraph" w:customStyle="1" w:styleId="Style37">
    <w:name w:val="Основной текст (5)"/>
    <w:basedOn w:val="Normal"/>
    <w:link w:val="CharStyle38"/>
    <w:pPr>
      <w:widowControl w:val="0"/>
      <w:shd w:val="clear" w:color="auto" w:fill="auto"/>
      <w:spacing w:after="110" w:line="235" w:lineRule="auto"/>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14.11.2023)"О контрактной системе в сфере закупок товаров, работ, услуг для обеспечения государственных и муниципальных нужд"</dc:title>
  <dc:subject/>
  <dc:creator/>
  <cp:keywords/>
</cp:coreProperties>
</file>