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1784350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723900</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r>
        <w:drawing>
          <wp:anchor distT="38100" distB="0" distL="114300" distR="114300" simplePos="0" relativeHeight="125829381" behindDoc="0" locked="0" layoutInCell="1" allowOverlap="1">
            <wp:simplePos x="0" y="0"/>
            <wp:positionH relativeFrom="page">
              <wp:posOffset>717550</wp:posOffset>
            </wp:positionH>
            <wp:positionV relativeFrom="paragraph">
              <wp:posOffset>9638030</wp:posOffset>
            </wp:positionV>
            <wp:extent cx="1511935" cy="28638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86385"/>
                    </a:xfrm>
                    <a:prstGeom prst="rect"/>
                  </pic:spPr>
                </pic:pic>
              </a:graphicData>
            </a:graphic>
          </wp:anchor>
        </w:drawing>
      </w:r>
    </w:p>
    <w:p>
      <w:pPr>
        <w:pStyle w:val="Style6"/>
        <w:keepNext w:val="0"/>
        <w:keepLines w:val="0"/>
        <w:widowControl w:val="0"/>
        <w:shd w:val="clear" w:color="auto" w:fill="auto"/>
        <w:bidi w:val="0"/>
        <w:spacing w:before="0" w:after="220" w:line="211" w:lineRule="auto"/>
        <w:ind w:left="1040" w:right="0" w:firstLine="0"/>
        <w:jc w:val="left"/>
      </w:pPr>
      <w:r>
        <w:rPr>
          <w:color w:val="000000"/>
          <w:spacing w:val="0"/>
          <w:w w:val="100"/>
          <w:position w:val="0"/>
          <w:shd w:val="clear" w:color="auto" w:fill="auto"/>
          <w:lang w:val="ru-RU" w:eastAsia="ru-RU" w:bidi="ru-RU"/>
        </w:rPr>
        <w:t>ООО «УК-Вент» 601651@йдгор.ги</w:t>
      </w:r>
    </w:p>
    <w:p>
      <w:pPr>
        <w:pStyle w:val="Style6"/>
        <w:keepNext w:val="0"/>
        <w:keepLines w:val="0"/>
        <w:widowControl w:val="0"/>
        <w:shd w:val="clear" w:color="auto" w:fill="auto"/>
        <w:bidi w:val="0"/>
        <w:spacing w:before="0" w:after="220" w:line="209" w:lineRule="auto"/>
        <w:ind w:left="1040" w:right="0" w:firstLine="0"/>
        <w:jc w:val="both"/>
      </w:pPr>
      <w:r>
        <w:rPr>
          <w:color w:val="000000"/>
          <w:spacing w:val="0"/>
          <w:w w:val="100"/>
          <w:position w:val="0"/>
          <w:shd w:val="clear" w:color="auto" w:fill="auto"/>
          <w:lang w:val="ru-RU" w:eastAsia="ru-RU" w:bidi="ru-RU"/>
        </w:rPr>
        <w:t>ГБУЗ Дирекция развития объектов здравоохранения города Москвы с1го/-/а1&lt;ир1&lt;1@/с1п1М1поуп1</w:t>
      </w:r>
    </w:p>
    <w:p>
      <w:pPr>
        <w:pStyle w:val="Style6"/>
        <w:keepNext w:val="0"/>
        <w:keepLines w:val="0"/>
        <w:widowControl w:val="0"/>
        <w:shd w:val="clear" w:color="auto" w:fill="auto"/>
        <w:bidi w:val="0"/>
        <w:spacing w:before="0" w:after="220" w:line="209" w:lineRule="auto"/>
        <w:ind w:left="1040" w:right="0" w:firstLine="0"/>
        <w:jc w:val="left"/>
      </w:pPr>
      <w:r>
        <w:rPr>
          <w:color w:val="000000"/>
          <w:spacing w:val="0"/>
          <w:w w:val="100"/>
          <w:position w:val="0"/>
          <w:shd w:val="clear" w:color="auto" w:fill="auto"/>
          <w:lang w:val="ru-RU" w:eastAsia="ru-RU" w:bidi="ru-RU"/>
        </w:rPr>
        <w:t>ПАО «МТС-Банк» т&amp;@т18Ъапкги</w:t>
      </w:r>
    </w:p>
    <w:p>
      <w:pPr>
        <w:pStyle w:val="Style6"/>
        <w:keepNext w:val="0"/>
        <w:keepLines w:val="0"/>
        <w:widowControl w:val="0"/>
        <w:shd w:val="clear" w:color="auto" w:fill="auto"/>
        <w:bidi w:val="0"/>
        <w:spacing w:before="0" w:after="1440" w:line="240" w:lineRule="auto"/>
        <w:ind w:left="1040" w:right="0" w:firstLine="0"/>
        <w:jc w:val="left"/>
      </w:pPr>
      <w:r>
        <w:rPr>
          <w:color w:val="000000"/>
          <w:spacing w:val="0"/>
          <w:w w:val="100"/>
          <w:position w:val="0"/>
          <w:shd w:val="clear" w:color="auto" w:fill="auto"/>
          <w:lang w:val="ru-RU" w:eastAsia="ru-RU" w:bidi="ru-RU"/>
        </w:rPr>
        <w:t>АО «ЕЭТП» ко@го8екогд.ги</w:t>
      </w:r>
    </w:p>
    <w:p>
      <w:pPr>
        <w:pStyle w:val="Style6"/>
        <w:keepNext w:val="0"/>
        <w:keepLines w:val="0"/>
        <w:widowControl w:val="0"/>
        <w:shd w:val="clear" w:color="auto" w:fill="auto"/>
        <w:tabs>
          <w:tab w:pos="8866"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№077/06/106-17396/2023 о нарушении</w:t>
        <w:br/>
        <w:t>законодательства о контрактной системе</w:t>
        <w:br/>
        <w:t>12.12.2023</w:t>
        <w:tab/>
        <w:t>г. Москва</w:t>
      </w:r>
    </w:p>
    <w:p>
      <w:pPr>
        <w:pStyle w:val="Style6"/>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 Председательствующего — заместителя начальника отдела обжалования государственных закупок Д.С. Грешневой, Члены Комиссии: Главного специалиста-эксперта отдела обжалования государственных закупок Н.А. Узкого, Специалиста-эксперта отдела обжалования государственных закупок М.О. Мацневой, рассмотрение жалобы проводилось дистанционно (посредством видео- конференц связи), при участии представителей:</w:t>
      </w:r>
    </w:p>
    <w:p>
      <w:pPr>
        <w:pStyle w:val="Style6"/>
        <w:keepNext w:val="0"/>
        <w:keepLines w:val="0"/>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ООО «УК-Вент»: Кожевникова Л.Г. (по доверенности №б/н от 06.12.2023);</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ГБУЗ Дирекция развития объектов здравоохранения города Москвы: Григорьева А.В. (по доверенности № 01-02-18/23 от 01.02.2023), Краско С.В. (по доверенности №01-02-17/23 от 01.02.2023), в отсутствие представителей ПАО «МТС-Банк», о времени и порядке заседания Комиссии Управления уведомленных посредством функционала Единой информационной системы, а также письмом Московского УФАС России (Исх. ЕИ/52719/23 от 11.12.2023),</w:t>
      </w:r>
    </w:p>
    <w:p>
      <w:pPr>
        <w:pStyle w:val="Style6"/>
        <w:keepNext w:val="0"/>
        <w:keepLines w:val="0"/>
        <w:widowControl w:val="0"/>
        <w:shd w:val="clear" w:color="auto" w:fill="auto"/>
        <w:bidi w:val="0"/>
        <w:spacing w:before="0" w:after="220" w:line="240" w:lineRule="auto"/>
        <w:ind w:left="0" w:right="0" w:firstLine="720"/>
        <w:jc w:val="both"/>
        <w:sectPr>
          <w:footerReference w:type="default" r:id="rId9"/>
          <w:footnotePr>
            <w:pos w:val="pageBottom"/>
            <w:numFmt w:val="decimal"/>
            <w:numRestart w:val="continuous"/>
          </w:footnotePr>
          <w:pgSz w:w="11900" w:h="16840"/>
          <w:pgMar w:top="298" w:right="536" w:bottom="712" w:left="1106" w:header="0" w:footer="3" w:gutter="0"/>
          <w:pgNumType w:start="1"/>
          <w:cols w:space="720"/>
          <w:noEndnote/>
          <w:rtlGutter w:val="0"/>
          <w:docGrid w:linePitch="360"/>
        </w:sectPr>
      </w:pPr>
      <w:r>
        <w:rPr>
          <w:color w:val="000000"/>
          <w:spacing w:val="0"/>
          <w:w w:val="100"/>
          <w:position w:val="0"/>
          <w:shd w:val="clear" w:color="auto" w:fill="auto"/>
          <w:lang w:val="ru-RU" w:eastAsia="ru-RU" w:bidi="ru-RU"/>
        </w:rPr>
        <w:t>рассмотрев жалобу ООО «УК-Вент» (далее — Заявитель) на действия ГБУЗ Дирекция развития объектов здравоохранения города Москвы (далее — Заказчик) при проведении открытого конкурса в электронной форме на право заключения контракта на выполнение комплекса ремонтных работ в Молочно-</w:t>
      </w:r>
    </w:p>
    <w:p>
      <w:pPr>
        <w:pStyle w:val="Style6"/>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ru-RU" w:eastAsia="ru-RU" w:bidi="ru-RU"/>
        </w:rPr>
        <w:t>раздаточном пункте № 221 по адресу: г. Москва, ул. Киевская, д. 24 (Закупка №0373200597923000353)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18"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Комиссией Управления установлено следующее.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жалобы Заявитель указывает на неправомерные действия комиссии Заказчика в части признания заявки Заявителя несоответствующей на основании предоставления обеспечения заявки в виде независимой гарантии несоответствующей требованиям извещения об осуществлении закупки и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05.12.2023 №ИЭОК1 заявка ООО «УК-Вент», с идентификационным номером 274546, отклонена на следующем основании: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Отклонить заявку на участие в закупке по п. 7 ч.12 ст. 48 №44-ФЗ «Отказ в принятии гарантии согласно ч.6 ст.45 Закона №44-ФЗ»/пп. «в» п.1 № 579-ППРФ.</w:t>
      </w:r>
    </w:p>
    <w:p>
      <w:pPr>
        <w:pStyle w:val="Style6"/>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Отклонить заявку на участие в закупке по п. 7 ч.12 ст.48 №44-ФЗ «Отказ в принятии гарантии согласно ч.6 ст.45 Закона №44-ФЗ»/ пп. «в» п.1 № 579-ПП РФ Согласно положениям пп. 23 и 24 Информационной карты документации по проведению электронного конкурса, независимая гарантия должна быть составлена с учетом требований Постановления Правительства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 1005).</w:t>
      </w:r>
    </w:p>
    <w:p>
      <w:pPr>
        <w:pStyle w:val="Style6"/>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В соответствии с утвержденными Постановлением № 1005 «Дополнительными требованиями к независимой гарантии, используемой для целей Закона о контрактной системе» такая гарантия должна быть составлена по типовой форме независимой гарантии.</w:t>
      </w:r>
    </w:p>
    <w:p>
      <w:pPr>
        <w:pStyle w:val="Style6"/>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Документацией о закупке (пункт 2.1 Информационной карты конкурса в электронной форме), а также размещенной в ЕИС информацией и извещением о проведении открытого конкурса в электронной форме</w:t>
      </w:r>
    </w:p>
    <w:p>
      <w:pPr>
        <w:pStyle w:val="Style6"/>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 0373200597923000353 в качестве информации о Заказчике предусмотрены, в том числе, следующие сведения:</w:t>
      </w:r>
    </w:p>
    <w:p>
      <w:pPr>
        <w:pStyle w:val="Style6"/>
        <w:keepNext w:val="0"/>
        <w:keepLines w:val="0"/>
        <w:widowControl w:val="0"/>
        <w:shd w:val="clear" w:color="auto" w:fill="auto"/>
        <w:bidi w:val="0"/>
        <w:spacing w:before="0" w:after="0" w:line="240" w:lineRule="auto"/>
        <w:ind w:left="0" w:right="0" w:firstLine="700"/>
        <w:jc w:val="left"/>
      </w:pPr>
      <w:r>
        <w:rPr>
          <w:i/>
          <w:iCs/>
          <w:color w:val="000000"/>
          <w:spacing w:val="0"/>
          <w:w w:val="100"/>
          <w:position w:val="0"/>
          <w:shd w:val="clear" w:color="auto" w:fill="auto"/>
          <w:lang w:val="ru-RU" w:eastAsia="ru-RU" w:bidi="ru-RU"/>
        </w:rPr>
        <w:t>Номер контактного телефона: +7 (495) 959-16-21</w:t>
      </w:r>
    </w:p>
    <w:p>
      <w:pPr>
        <w:pStyle w:val="Style6"/>
        <w:keepNext w:val="0"/>
        <w:keepLines w:val="0"/>
        <w:widowControl w:val="0"/>
        <w:shd w:val="clear" w:color="auto" w:fill="auto"/>
        <w:bidi w:val="0"/>
        <w:spacing w:before="0" w:after="0" w:line="240" w:lineRule="auto"/>
        <w:ind w:left="0" w:right="0" w:firstLine="700"/>
        <w:jc w:val="left"/>
      </w:pPr>
      <w:r>
        <w:rPr>
          <w:i/>
          <w:iCs/>
          <w:color w:val="000000"/>
          <w:spacing w:val="0"/>
          <w:w w:val="100"/>
          <w:position w:val="0"/>
          <w:shd w:val="clear" w:color="auto" w:fill="auto"/>
          <w:lang w:val="ru-RU" w:eastAsia="ru-RU" w:bidi="ru-RU"/>
        </w:rPr>
        <w:t>Адрес электронной почты: дгох-хакирк1@2дгау.то8.ги</w:t>
      </w:r>
    </w:p>
    <w:p>
      <w:pPr>
        <w:pStyle w:val="Style6"/>
        <w:keepNext w:val="0"/>
        <w:keepLines w:val="0"/>
        <w:widowControl w:val="0"/>
        <w:shd w:val="clear" w:color="auto" w:fill="auto"/>
        <w:bidi w:val="0"/>
        <w:spacing w:before="0" w:after="260" w:line="430" w:lineRule="auto"/>
        <w:ind w:left="0" w:right="0" w:firstLine="720"/>
        <w:jc w:val="both"/>
        <w:rPr>
          <w:sz w:val="22"/>
          <w:szCs w:val="22"/>
        </w:rPr>
        <w:sectPr>
          <w:headerReference w:type="default" r:id="rId10"/>
          <w:footerReference w:type="default" r:id="rId11"/>
          <w:footnotePr>
            <w:pos w:val="pageBottom"/>
            <w:numFmt w:val="decimal"/>
            <w:numRestart w:val="continuous"/>
          </w:footnotePr>
          <w:pgSz w:w="11900" w:h="16840"/>
          <w:pgMar w:top="1162" w:right="541" w:bottom="514" w:left="1097" w:header="0" w:footer="86" w:gutter="0"/>
          <w:cols w:space="720"/>
          <w:noEndnote/>
          <w:rtlGutter w:val="0"/>
          <w:docGrid w:linePitch="360"/>
        </w:sectPr>
      </w:pPr>
      <w:r>
        <w:rPr>
          <w:i/>
          <w:iCs/>
          <w:color w:val="000000"/>
          <w:spacing w:val="0"/>
          <w:w w:val="100"/>
          <w:position w:val="0"/>
          <w:sz w:val="28"/>
          <w:szCs w:val="28"/>
          <w:shd w:val="clear" w:color="auto" w:fill="auto"/>
          <w:lang w:val="ru-RU" w:eastAsia="ru-RU" w:bidi="ru-RU"/>
        </w:rPr>
        <w:t xml:space="preserve">При этом условия Гарантии в разделе «Информация о гаранте, принципале, </w:t>
      </w:r>
      <w:r>
        <w:rPr>
          <w:rFonts w:ascii="Cambria" w:eastAsia="Cambria" w:hAnsi="Cambria" w:cs="Cambria"/>
          <w:color w:val="000000"/>
          <w:spacing w:val="0"/>
          <w:w w:val="100"/>
          <w:position w:val="0"/>
          <w:sz w:val="22"/>
          <w:szCs w:val="22"/>
          <w:shd w:val="clear" w:color="auto" w:fill="auto"/>
          <w:lang w:val="ru-RU" w:eastAsia="ru-RU" w:bidi="ru-RU"/>
        </w:rPr>
        <w:t>2023-61205</w:t>
      </w:r>
    </w:p>
    <w:p>
      <w:pPr>
        <w:pStyle w:val="Style6"/>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бенефициаре» содержит частичное (измененное) изложение данных сведений:</w:t>
      </w:r>
    </w:p>
    <w:p>
      <w:pPr>
        <w:pStyle w:val="Style6"/>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4959524065 и дгох@2дгау.то8.ги (соответственно для телефона и адреса электронной почты).</w:t>
      </w:r>
    </w:p>
    <w:p>
      <w:pPr>
        <w:pStyle w:val="Style6"/>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Таким образом заявка участника признается не соответствующей требованиям документации о закупке.</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ч.1 ст.44 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п.16 ч.1 ст.42 Закона о контрактной системе извещение об осуществлении закупки должно содержать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ст.44 Закона о контрактной системе),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ч.13 ст.44 Закона о контрактной системе. Комиссией Управления определено, что в составе извещения Заказчиком установлено требование о наличии обеспечения заявки на участие в закупке.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ч.4 ст.44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 предусмотренной ст.45 Закона о контрактной системе.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пп.«б» п.1 ч.5 ст.44 Закона о контрактной системе при проведении электронных процедур обеспечение заявки на участие в закупке предоставляется, в том числе, посредством предоставления независимой гарантии, соответствующей требованиям ст.45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Комиссией Управления установлено, что согласно п. 23 Информационной карты аукциона установлено: </w:t>
      </w:r>
      <w:r>
        <w:rPr>
          <w:i/>
          <w:iCs/>
          <w:color w:val="000000"/>
          <w:spacing w:val="0"/>
          <w:w w:val="100"/>
          <w:position w:val="0"/>
          <w:shd w:val="clear" w:color="auto" w:fill="auto"/>
          <w:lang w:val="ru-RU" w:eastAsia="ru-RU" w:bidi="ru-RU"/>
        </w:rPr>
        <w:t>Обеспечение заявки может предоставляться в виде денежных средств или независимой гарантии. Выбор способа обеспечения заявки осуществляется участником закупки. Обеспечение заявки в виде денежных средств предоставляется в соответствии с правилами и порядком, определенными иоператором электронной площадки с использованием специального счета, открытого участником закупки в одном из банков, предусмотренных пп. «а» п. 1 ч. 5 ст. 44 Федерального закона от 05.04.2013 № 44-ФЗ»</w:t>
      </w:r>
    </w:p>
    <w:p>
      <w:pPr>
        <w:pStyle w:val="Style6"/>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 xml:space="preserve">Обеспечение заявки в виде независимой гарантии предоставляется в соответствии с условиями настоящей информационной карты. Участники закупки, являющиеся юридическими лицами, зарегистрированными на территории государства — члена Евразийского экономического союза, за исключением Российской Федерации, или физическими лицами, являющимися гражданами государства - члена Евразийского экономического союза, за исключением Российской Федерации, вправе предоставить обеспечение заявок в виде денежных средств, которые вносятся участниками закупки на счет, указанный заказчиком в </w:t>
      </w:r>
      <w:r>
        <w:rPr>
          <w:i/>
          <w:iCs/>
          <w:color w:val="000000"/>
          <w:spacing w:val="0"/>
          <w:w w:val="100"/>
          <w:position w:val="0"/>
          <w:shd w:val="clear" w:color="auto" w:fill="auto"/>
          <w:lang w:val="ru-RU" w:eastAsia="ru-RU" w:bidi="ru-RU"/>
        </w:rPr>
        <w:t>извещении об осуществлении закупки, на котором в соответствии с законодательством Российской Федерации учитываются операции со средствами, поступающими заказчику. (Постановление Правительства РФ от 10.04.2023 № 579).</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Также в п. 24 Информационной карты аукциона установлено: </w:t>
      </w:r>
      <w:r>
        <w:rPr>
          <w:i/>
          <w:iCs/>
          <w:color w:val="000000"/>
          <w:spacing w:val="0"/>
          <w:w w:val="100"/>
          <w:position w:val="0"/>
          <w:shd w:val="clear" w:color="auto" w:fill="auto"/>
          <w:lang w:val="ru-RU" w:eastAsia="ru-RU" w:bidi="ru-RU"/>
        </w:rPr>
        <w:t>Независимая гарантия, выданная участнику закупки банком, государственной корпорацией развития «ВЭБ.РФ», фондами содействия кредитованию,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 для целей обеспечения заявки на участие в закупке, должна соответствовать требованиям статьи 45 Федерального закона, постановления Правительства Российской Федерации от 08.11.2013 г. № 1005. Независимая гарантия должна в том числе содержать:</w:t>
      </w:r>
    </w:p>
    <w:p>
      <w:pPr>
        <w:pStyle w:val="Style6"/>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 указание на то, что все споры по независимой гарантии подлежат рассмотрению в Арбитражном суде города Москвы.</w:t>
      </w:r>
    </w:p>
    <w:p>
      <w:pPr>
        <w:pStyle w:val="Style6"/>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Срок действия независимой гарантии, предоставленной в качестве обеспечения заявки, должен составлять не менее чем месяц с даты окончания срока подачи заявок.</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Управления установлено, что Заявителем в качестве обеспечения заявки представлена независимая гарантия №662973-23-ЕОВ от 17.11.2023, выданная ПАО «МТС-Банк» (далее — независимая гарантия).</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Ч.2 ст. 45 Закона о контрактной системе установлен перечень информации, которую должна содержать независимая гарантия.</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п.1 ч.1 ст.45 Закона о контрактной системе заказчики в качестве обеспечения заявок, исполнения контрактов, гарантийных обязательств принимают независимые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ч.1.2 ст.45 Закона о контрактной системы.</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Ч.2 ст.45 Закона о контрактной системе установлен перечень информации, которую должна содержать независимая гарантия.</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ч.6 ст.45 Закона о контрактной системе основанием для отказа в принятии независимой гарантии заказчиком является:</w:t>
      </w:r>
    </w:p>
    <w:p>
      <w:pPr>
        <w:pStyle w:val="Style6"/>
        <w:keepNext w:val="0"/>
        <w:keepLines w:val="0"/>
        <w:widowControl w:val="0"/>
        <w:numPr>
          <w:ilvl w:val="0"/>
          <w:numId w:val="1"/>
        </w:numPr>
        <w:shd w:val="clear" w:color="auto" w:fill="auto"/>
        <w:tabs>
          <w:tab w:pos="10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отсутствие информации о независимой гарантии в предусмотренных ст.45 Закона о контрактной системе реестрах независимых гарантий;</w:t>
      </w:r>
    </w:p>
    <w:p>
      <w:pPr>
        <w:pStyle w:val="Style6"/>
        <w:keepNext w:val="0"/>
        <w:keepLines w:val="0"/>
        <w:widowControl w:val="0"/>
        <w:numPr>
          <w:ilvl w:val="0"/>
          <w:numId w:val="1"/>
        </w:numPr>
        <w:shd w:val="clear" w:color="auto" w:fill="auto"/>
        <w:tabs>
          <w:tab w:pos="104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несоответствие независимой гарантии требованиям, предусмотренным ч.2, 3 и 8.2 ст.45 Закона о контрактной системе;</w:t>
      </w:r>
    </w:p>
    <w:p>
      <w:pPr>
        <w:pStyle w:val="Style6"/>
        <w:keepNext w:val="0"/>
        <w:keepLines w:val="0"/>
        <w:widowControl w:val="0"/>
        <w:numPr>
          <w:ilvl w:val="0"/>
          <w:numId w:val="1"/>
        </w:numPr>
        <w:shd w:val="clear" w:color="auto" w:fill="auto"/>
        <w:tabs>
          <w:tab w:pos="1758" w:val="left"/>
        </w:tabs>
        <w:bidi w:val="0"/>
        <w:spacing w:before="0" w:after="0" w:line="240" w:lineRule="auto"/>
        <w:ind w:left="0" w:right="0" w:firstLine="740"/>
        <w:jc w:val="both"/>
        <w:sectPr>
          <w:headerReference w:type="default" r:id="rId12"/>
          <w:footerReference w:type="default" r:id="rId13"/>
          <w:footnotePr>
            <w:pos w:val="pageBottom"/>
            <w:numFmt w:val="decimal"/>
            <w:numRestart w:val="continuous"/>
          </w:footnotePr>
          <w:pgSz w:w="11900" w:h="16840"/>
          <w:pgMar w:top="1167" w:right="534" w:bottom="1114" w:left="1080" w:header="0" w:footer="3" w:gutter="0"/>
          <w:cols w:space="720"/>
          <w:noEndnote/>
          <w:rtlGutter w:val="0"/>
          <w:docGrid w:linePitch="360"/>
        </w:sectPr>
      </w:pPr>
      <w:r>
        <w:rPr>
          <w:color w:val="000000"/>
          <w:spacing w:val="0"/>
          <w:w w:val="100"/>
          <w:position w:val="0"/>
          <w:shd w:val="clear" w:color="auto" w:fill="auto"/>
          <w:lang w:val="ru-RU" w:eastAsia="ru-RU" w:bidi="ru-RU"/>
        </w:rPr>
        <w:t>несоответствие независимой гарантии требованиям, содержащимся в</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извещении об осуществлении закупки, приглашении, документации о закупке (в случае, если Законом о контрактной системе предусмотрена документация о закупке), проекте контракта, который заключается с единственным поставщиком (подрядчиком, исполнителем).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ч.8.2 ст.45 Закона о контрактной системе дополнительные требования к независимой гарантии, используемой для целей Закона о контрактной системе, порядок ведения и размещения в ЕИС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Закона о контрактной системе, форма требования об уплате денежной суммы по независимой гарантии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п.1 постановления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 1005) утверждены:</w:t>
      </w:r>
    </w:p>
    <w:p>
      <w:pPr>
        <w:pStyle w:val="Style6"/>
        <w:keepNext w:val="0"/>
        <w:keepLines w:val="0"/>
        <w:widowControl w:val="0"/>
        <w:numPr>
          <w:ilvl w:val="0"/>
          <w:numId w:val="3"/>
        </w:numPr>
        <w:shd w:val="clear" w:color="auto" w:fill="auto"/>
        <w:tabs>
          <w:tab w:pos="9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дополнительные требования к независимой гарантии, используемой для целей Закона о контрактной системы;</w:t>
      </w:r>
    </w:p>
    <w:p>
      <w:pPr>
        <w:pStyle w:val="Style6"/>
        <w:keepNext w:val="0"/>
        <w:keepLines w:val="0"/>
        <w:widowControl w:val="0"/>
        <w:numPr>
          <w:ilvl w:val="0"/>
          <w:numId w:val="3"/>
        </w:numPr>
        <w:shd w:val="clear" w:color="auto" w:fill="auto"/>
        <w:tabs>
          <w:tab w:pos="9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перечень документов, представляемых заказчиком гаранту одновременно с требованием об осуществлении уплаты денежной суммы по независимой гарантии, правила ведения и размещения в ЕИС реестра независимых гарантий;</w:t>
      </w:r>
    </w:p>
    <w:p>
      <w:pPr>
        <w:pStyle w:val="Style6"/>
        <w:keepNext w:val="0"/>
        <w:keepLines w:val="0"/>
        <w:widowControl w:val="0"/>
        <w:numPr>
          <w:ilvl w:val="0"/>
          <w:numId w:val="3"/>
        </w:numPr>
        <w:shd w:val="clear" w:color="auto" w:fill="auto"/>
        <w:tabs>
          <w:tab w:pos="9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форма требования об осуществлении уплаты денежной суммы по независимой гарантии;</w:t>
      </w:r>
    </w:p>
    <w:p>
      <w:pPr>
        <w:pStyle w:val="Style6"/>
        <w:keepNext w:val="0"/>
        <w:keepLines w:val="0"/>
        <w:widowControl w:val="0"/>
        <w:numPr>
          <w:ilvl w:val="0"/>
          <w:numId w:val="3"/>
        </w:numPr>
        <w:shd w:val="clear" w:color="auto" w:fill="auto"/>
        <w:tabs>
          <w:tab w:pos="9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правила формирования и ведения закрытого реестра независимых гарантий; - 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w:t>
      </w:r>
    </w:p>
    <w:p>
      <w:pPr>
        <w:pStyle w:val="Style6"/>
        <w:keepNext w:val="0"/>
        <w:keepLines w:val="0"/>
        <w:widowControl w:val="0"/>
        <w:numPr>
          <w:ilvl w:val="0"/>
          <w:numId w:val="3"/>
        </w:numPr>
        <w:shd w:val="clear" w:color="auto" w:fill="auto"/>
        <w:tabs>
          <w:tab w:pos="9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типовая форма независимой гарантии, предоставляемой в качестве обеспечения исполнения контракта (далее - Типовая форма).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Типовой формой предусмотрено включение в независимую гарантию, в том числе, сведений о месте нахождения, телефоне, адресе электронной почты бенефициара.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71"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На заседании Комиссии Управления представитель Заказчика пояснил, что представленная участником закупки независимая гарантия в качестве обеспечения исполнения контракта не соответствует требованиям извещения об осуществлении закупки, поскольку Заявителем указаны телефон и адрес электронной почты Заказчика, </w:t>
      </w:r>
      <w:r>
        <w:rPr>
          <w:rFonts w:ascii="Cambria" w:eastAsia="Cambria" w:hAnsi="Cambria" w:cs="Cambria"/>
          <w:color w:val="000000"/>
          <w:spacing w:val="0"/>
          <w:w w:val="100"/>
          <w:position w:val="0"/>
          <w:sz w:val="22"/>
          <w:szCs w:val="22"/>
          <w:shd w:val="clear" w:color="auto" w:fill="auto"/>
          <w:lang w:val="ru-RU" w:eastAsia="ru-RU" w:bidi="ru-RU"/>
        </w:rPr>
        <w:t>2023-61205</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противоречащие сведениям, указанным в извещении об осуществлении закупки, а именно в независимой гарантии указано: «4959524065 и с1т/@/с1га\апо8ти&gt;» в то время как необходимо: «тел. +7 (495) 959-16-21, адрес электронной почты: с1го/- /а1&lt;ир1&lt;1@/с1га\\то8.ги».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составе извещения Заказчиком в том числе указано: «телефон: +7 (495) 959-16-21; адрес электронной почты: с1го/- /акир1&lt;1@/с1га\\ то8.П1».</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указанный в составе независимой гарантии телефон и адрес электронной почты бенефициара не соотносится со сведениями, указанными в извещении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Исходя из вышеизложенного Комиссия Управления приходит к выводу, что представленная независимая гарантия не соответствует требованиям извещения, так как в извещении установлены условия о необходимости соответствия независимой гарантий требованиям Постановления №1005.</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5"/>
        </w:numPr>
        <w:shd w:val="clear" w:color="auto" w:fill="auto"/>
        <w:tabs>
          <w:tab w:pos="108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5"/>
        </w:numPr>
        <w:shd w:val="clear" w:color="auto" w:fill="auto"/>
        <w:tabs>
          <w:tab w:pos="108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5"/>
        </w:numPr>
        <w:shd w:val="clear" w:color="auto" w:fill="auto"/>
        <w:tabs>
          <w:tab w:pos="108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6"/>
        <w:keepNext w:val="0"/>
        <w:keepLines w:val="0"/>
        <w:widowControl w:val="0"/>
        <w:numPr>
          <w:ilvl w:val="0"/>
          <w:numId w:val="5"/>
        </w:numPr>
        <w:shd w:val="clear" w:color="auto" w:fill="auto"/>
        <w:tabs>
          <w:tab w:pos="108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6"/>
        <w:keepNext w:val="0"/>
        <w:keepLines w:val="0"/>
        <w:widowControl w:val="0"/>
        <w:numPr>
          <w:ilvl w:val="0"/>
          <w:numId w:val="5"/>
        </w:numPr>
        <w:shd w:val="clear" w:color="auto" w:fill="auto"/>
        <w:tabs>
          <w:tab w:pos="1085" w:val="left"/>
        </w:tabs>
        <w:bidi w:val="0"/>
        <w:spacing w:before="0" w:after="0" w:line="276" w:lineRule="auto"/>
        <w:ind w:left="0" w:right="0" w:firstLine="700"/>
        <w:jc w:val="both"/>
        <w:rPr>
          <w:sz w:val="22"/>
          <w:szCs w:val="22"/>
        </w:rPr>
        <w:sectPr>
          <w:headerReference w:type="default" r:id="rId14"/>
          <w:footerReference w:type="default" r:id="rId15"/>
          <w:footnotePr>
            <w:pos w:val="pageBottom"/>
            <w:numFmt w:val="decimal"/>
            <w:numRestart w:val="continuous"/>
          </w:footnotePr>
          <w:pgSz w:w="11900" w:h="16840"/>
          <w:pgMar w:top="1162" w:right="542" w:bottom="682" w:left="1105" w:header="0" w:footer="254"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непредставления информации и документов, предусмотренных п. 5 ч.1 ст. 43 Закона о контрактной системе, если такие документы предусмотрены нормативными правовыми актами, принятыми в соответствии с ч. 3 ст. 14 Закона о </w:t>
      </w:r>
      <w:r>
        <w:rPr>
          <w:rFonts w:ascii="Cambria" w:eastAsia="Cambria" w:hAnsi="Cambria" w:cs="Cambria"/>
          <w:color w:val="000000"/>
          <w:spacing w:val="0"/>
          <w:w w:val="100"/>
          <w:position w:val="0"/>
          <w:sz w:val="22"/>
          <w:szCs w:val="22"/>
          <w:shd w:val="clear" w:color="auto" w:fill="auto"/>
          <w:lang w:val="ru-RU" w:eastAsia="ru-RU" w:bidi="ru-RU"/>
        </w:rPr>
        <w:t>2023-61205</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numPr>
          <w:ilvl w:val="0"/>
          <w:numId w:val="5"/>
        </w:numPr>
        <w:shd w:val="clear" w:color="auto" w:fill="auto"/>
        <w:tabs>
          <w:tab w:pos="11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5"/>
        </w:numPr>
        <w:shd w:val="clear" w:color="auto" w:fill="auto"/>
        <w:tabs>
          <w:tab w:pos="180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6"/>
        <w:keepNext w:val="0"/>
        <w:keepLines w:val="0"/>
        <w:widowControl w:val="0"/>
        <w:numPr>
          <w:ilvl w:val="0"/>
          <w:numId w:val="5"/>
        </w:numPr>
        <w:shd w:val="clear" w:color="auto" w:fill="auto"/>
        <w:tabs>
          <w:tab w:pos="11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numPr>
          <w:ilvl w:val="0"/>
          <w:numId w:val="5"/>
        </w:numPr>
        <w:shd w:val="clear" w:color="auto" w:fill="auto"/>
        <w:tabs>
          <w:tab w:pos="11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решение комиссии по осуществлению закупок Заказчика об отклонении заявки ООО «УК-Вент» по основанию, отраженному в протоколе, является правомерным и принято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Одновременно с этим в ходе проведения внеплановой проверки Комиссией Управления установлено следующее.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Независимая гарантия, выданная ПАО «МТС-Банк», не соответствует требованиям Типовой формы, так как указанные в независимой гарантии телефон, адрес электронной почты не соотносятся с требованиями к независимой гарантии, указанной в извещении об осуществлении закупки.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независимая гарантия выдана Заявителю 17.11.2023, что указывает на то, что на момент выдачи независимой гарантии Заявителю Типовая форма независимой гарантии, предоставляемой в качестве обеспечения исполнения заявки на участие в закупке, является обязательной.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вышеуказанные действия ПАО «МТС-Банк» нарушают ч.8.2 ст.45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sectPr>
          <w:headerReference w:type="default" r:id="rId16"/>
          <w:footerReference w:type="default" r:id="rId17"/>
          <w:footnotePr>
            <w:pos w:val="pageBottom"/>
            <w:numFmt w:val="decimal"/>
            <w:numRestart w:val="continuous"/>
          </w:footnotePr>
          <w:pgSz w:w="11900" w:h="16840"/>
          <w:pgMar w:top="1162" w:right="541"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6"/>
        <w:keepNext w:val="0"/>
        <w:keepLines w:val="0"/>
        <w:widowControl w:val="0"/>
        <w:numPr>
          <w:ilvl w:val="0"/>
          <w:numId w:val="7"/>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«УК-Вент» на действия комиссии ГБУЗ Дирекция развития объектов здравоохранения города Москвы необоснованной.</w:t>
      </w:r>
    </w:p>
    <w:p>
      <w:pPr>
        <w:pStyle w:val="Style6"/>
        <w:keepNext w:val="0"/>
        <w:keepLines w:val="0"/>
        <w:widowControl w:val="0"/>
        <w:numPr>
          <w:ilvl w:val="0"/>
          <w:numId w:val="7"/>
        </w:numPr>
        <w:shd w:val="clear" w:color="auto" w:fill="auto"/>
        <w:tabs>
          <w:tab w:pos="109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ПАО «МТС-Банк» нарушения ч.8.2 ст.45 Закона о контрактной системе.</w:t>
      </w:r>
    </w:p>
    <w:p>
      <w:pPr>
        <w:pStyle w:val="Style6"/>
        <w:keepNext w:val="0"/>
        <w:keepLines w:val="0"/>
        <w:widowControl w:val="0"/>
        <w:numPr>
          <w:ilvl w:val="0"/>
          <w:numId w:val="7"/>
        </w:numPr>
        <w:shd w:val="clear" w:color="auto" w:fill="auto"/>
        <w:tabs>
          <w:tab w:pos="1088" w:val="left"/>
        </w:tabs>
        <w:bidi w:val="0"/>
        <w:spacing w:before="0" w:after="200" w:line="240" w:lineRule="auto"/>
        <w:ind w:left="0" w:right="0" w:firstLine="720"/>
        <w:jc w:val="both"/>
      </w:pPr>
      <w:r>
        <w:rPr>
          <w:color w:val="000000"/>
          <w:spacing w:val="0"/>
          <w:w w:val="100"/>
          <w:position w:val="0"/>
          <w:shd w:val="clear" w:color="auto" w:fill="auto"/>
          <w:lang w:val="ru-RU" w:eastAsia="ru-RU" w:bidi="ru-RU"/>
        </w:rPr>
        <w:t>Выдать Заказчику, Оператору электронной площадки, ПАО «МТС-Банк» предписание об устранении выявленного нарушения Закона о контрактной системе.</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479" w:right="527" w:bottom="3788" w:left="1106" w:header="0" w:footer="3" w:gutter="0"/>
          <w:cols w:space="720"/>
          <w:noEndnote/>
          <w:rtlGutter w:val="0"/>
          <w:docGrid w:linePitch="360"/>
        </w:sectPr>
      </w:pPr>
      <w:r>
        <mc:AlternateContent>
          <mc:Choice Requires="wps">
            <w:drawing>
              <wp:anchor distT="533400" distB="356235" distL="0" distR="0" simplePos="0" relativeHeight="125829382" behindDoc="0" locked="0" layoutInCell="1" allowOverlap="1">
                <wp:simplePos x="0" y="0"/>
                <wp:positionH relativeFrom="page">
                  <wp:posOffset>735965</wp:posOffset>
                </wp:positionH>
                <wp:positionV relativeFrom="paragraph">
                  <wp:posOffset>533400</wp:posOffset>
                </wp:positionV>
                <wp:extent cx="1850390" cy="250190"/>
                <wp:wrapTopAndBottom/>
                <wp:docPr id="21" name="Shape 21"/>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7" type="#_x0000_t202" style="position:absolute;margin-left:57.950000000000003pt;margin-top:42.pt;width:145.70000000000002pt;height:19.699999999999999pt;z-index:-125829371;mso-wrap-distance-left:0;mso-wrap-distance-top:42.pt;mso-wrap-distance-right:0;mso-wrap-distance-bottom:28.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570230" distB="0" distL="0" distR="1786255" simplePos="0" relativeHeight="125829384" behindDoc="0" locked="0" layoutInCell="1" allowOverlap="1">
            <wp:simplePos x="0" y="0"/>
            <wp:positionH relativeFrom="page">
              <wp:posOffset>2967355</wp:posOffset>
            </wp:positionH>
            <wp:positionV relativeFrom="paragraph">
              <wp:posOffset>570230</wp:posOffset>
            </wp:positionV>
            <wp:extent cx="389890" cy="57277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8"/>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3461385</wp:posOffset>
                </wp:positionH>
                <wp:positionV relativeFrom="paragraph">
                  <wp:posOffset>1005840</wp:posOffset>
                </wp:positionV>
                <wp:extent cx="1280160" cy="103505"/>
                <wp:wrapNone/>
                <wp:docPr id="25" name="Shape 2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72.55000000000001pt;margin-top:79.200000000000003pt;width:100.8pt;height:8.15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3418205</wp:posOffset>
                </wp:positionH>
                <wp:positionV relativeFrom="paragraph">
                  <wp:posOffset>695325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69.14999999999998pt;margin-top:54.75pt;width:135.59999999999999pt;height:20.15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33400" distB="356235" distL="0" distR="0" simplePos="0" relativeHeight="125829385" behindDoc="0" locked="0" layoutInCell="1" allowOverlap="1">
                <wp:simplePos x="0" y="0"/>
                <wp:positionH relativeFrom="page">
                  <wp:posOffset>6085205</wp:posOffset>
                </wp:positionH>
                <wp:positionV relativeFrom="paragraph">
                  <wp:posOffset>533400</wp:posOffset>
                </wp:positionV>
                <wp:extent cx="1136650" cy="250190"/>
                <wp:wrapTopAndBottom/>
                <wp:docPr id="29" name="Shape 29"/>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55" type="#_x0000_t202" style="position:absolute;margin-left:479.15000000000003pt;margin-top:42.pt;width:89.5pt;height:19.699999999999999pt;z-index:-125829368;mso-wrap-distance-left:0;mso-wrap-distance-top:42.pt;mso-wrap-distance-right:0;mso-wrap-distance-bottom:28.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1"/>
        <w:keepNext w:val="0"/>
        <w:keepLines w:val="0"/>
        <w:widowControl w:val="0"/>
        <w:shd w:val="clear" w:color="auto" w:fill="auto"/>
        <w:bidi w:val="0"/>
        <w:spacing w:before="0" w:after="0" w:line="240" w:lineRule="auto"/>
        <w:ind w:right="0" w:firstLine="0"/>
        <w:jc w:val="left"/>
      </w:pPr>
      <w:r>
        <w:rPr>
          <w:color w:val="676767"/>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Грешнева Дарья Сергеевна</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067961ЕЕ87Р758АЕ5АСО096СЕ0АЕ91</w:t>
      </w:r>
      <w:r>
        <w:rPr>
          <w:color w:val="000000"/>
          <w:spacing w:val="0"/>
          <w:w w:val="100"/>
          <w:position w:val="0"/>
          <w:shd w:val="clear" w:color="auto" w:fill="auto"/>
          <w:lang w:val="ru-RU" w:eastAsia="ru-RU" w:bidi="ru-RU"/>
        </w:rPr>
        <w:t>25</w:t>
      </w:r>
    </w:p>
    <w:p>
      <w:pPr>
        <w:pStyle w:val="Style21"/>
        <w:keepNext w:val="0"/>
        <w:keepLines w:val="0"/>
        <w:widowControl w:val="0"/>
        <w:shd w:val="clear" w:color="auto" w:fill="auto"/>
        <w:bidi w:val="0"/>
        <w:spacing w:before="0" w:after="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16.03.2023 </w:t>
      </w:r>
      <w:r>
        <w:rPr>
          <w:color w:val="676767"/>
          <w:spacing w:val="0"/>
          <w:w w:val="100"/>
          <w:position w:val="0"/>
          <w:shd w:val="clear" w:color="auto" w:fill="auto"/>
          <w:lang w:val="ru-RU" w:eastAsia="ru-RU" w:bidi="ru-RU"/>
        </w:rPr>
        <w:t>по 08.06.2024</w:t>
      </w:r>
    </w:p>
    <w:p>
      <w:pPr>
        <w:widowControl w:val="0"/>
        <w:spacing w:line="1" w:lineRule="exact"/>
        <w:sectPr>
          <w:footnotePr>
            <w:pos w:val="pageBottom"/>
            <w:numFmt w:val="decimal"/>
            <w:numRestart w:val="continuous"/>
          </w:footnotePr>
          <w:type w:val="continuous"/>
          <w:pgSz w:w="11900" w:h="16840"/>
          <w:pgMar w:top="1479" w:right="527" w:bottom="3788" w:left="1106" w:header="0" w:footer="3" w:gutter="0"/>
          <w:cols w:space="720"/>
          <w:noEndnote/>
          <w:rtlGutter w:val="0"/>
          <w:docGrid w:linePitch="360"/>
        </w:sectPr>
      </w:pPr>
      <w:r>
        <mc:AlternateContent>
          <mc:Choice Requires="wps">
            <w:drawing>
              <wp:anchor distT="76200" distB="216535" distL="0" distR="0" simplePos="0" relativeHeight="125829387" behindDoc="0" locked="0" layoutInCell="1" allowOverlap="1">
                <wp:simplePos x="0" y="0"/>
                <wp:positionH relativeFrom="page">
                  <wp:posOffset>735965</wp:posOffset>
                </wp:positionH>
                <wp:positionV relativeFrom="paragraph">
                  <wp:posOffset>76200</wp:posOffset>
                </wp:positionV>
                <wp:extent cx="1341120" cy="252730"/>
                <wp:wrapTopAndBottom/>
                <wp:docPr id="31" name="Shape 31"/>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19"/>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Члены комиссии:</w:t>
                            </w:r>
                            <w:bookmarkEnd w:id="0"/>
                          </w:p>
                        </w:txbxContent>
                      </wps:txbx>
                      <wps:bodyPr wrap="none" lIns="0" tIns="0" rIns="0" bIns="0">
                        <a:noAutoFit/>
                      </wps:bodyPr>
                    </wps:wsp>
                  </a:graphicData>
                </a:graphic>
              </wp:anchor>
            </w:drawing>
          </mc:Choice>
          <mc:Fallback>
            <w:pict>
              <v:shape id="_x0000_s1057" type="#_x0000_t202" style="position:absolute;margin-left:57.950000000000003pt;margin-top:6.pt;width:105.60000000000001pt;height:19.900000000000002pt;z-index:-125829366;mso-wrap-distance-left:0;mso-wrap-distance-top:6.pt;mso-wrap-distance-right:0;mso-wrap-distance-bottom:17.050000000000001pt;mso-position-horizontal-relative:page" filled="f" stroked="f">
                <v:textbox inset="0,0,0,0">
                  <w:txbxContent>
                    <w:p>
                      <w:pPr>
                        <w:pStyle w:val="Style19"/>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Члены комиссии:</w:t>
                      </w:r>
                      <w:bookmarkEnd w:id="0"/>
                    </w:p>
                  </w:txbxContent>
                </v:textbox>
                <w10:wrap type="topAndBottom" anchorx="page"/>
              </v:shape>
            </w:pict>
          </mc:Fallback>
        </mc:AlternateContent>
      </w:r>
      <w:r>
        <w:drawing>
          <wp:anchor distT="149225" distB="0" distL="0" distR="1786255" simplePos="0" relativeHeight="125829389" behindDoc="0" locked="0" layoutInCell="1" allowOverlap="1">
            <wp:simplePos x="0" y="0"/>
            <wp:positionH relativeFrom="page">
              <wp:posOffset>2997835</wp:posOffset>
            </wp:positionH>
            <wp:positionV relativeFrom="paragraph">
              <wp:posOffset>149225</wp:posOffset>
            </wp:positionV>
            <wp:extent cx="359410" cy="39624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0"/>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3418205</wp:posOffset>
                </wp:positionH>
                <wp:positionV relativeFrom="paragraph">
                  <wp:posOffset>240665</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69.14999999999998pt;margin-top:18.949999999999999pt;width:135.59999999999999pt;height:20.15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76200" distB="216535" distL="0" distR="0" simplePos="0" relativeHeight="125829390" behindDoc="0" locked="0" layoutInCell="1" allowOverlap="1">
                <wp:simplePos x="0" y="0"/>
                <wp:positionH relativeFrom="page">
                  <wp:posOffset>6289675</wp:posOffset>
                </wp:positionH>
                <wp:positionV relativeFrom="paragraph">
                  <wp:posOffset>76200</wp:posOffset>
                </wp:positionV>
                <wp:extent cx="887095" cy="252730"/>
                <wp:wrapTopAndBottom/>
                <wp:docPr id="37" name="Shape 37"/>
                <a:graphic xmlns:a="http://schemas.openxmlformats.org/drawingml/2006/main">
                  <a:graphicData uri="http://schemas.microsoft.com/office/word/2010/wordprocessingShape">
                    <wps:wsp>
                      <wps:cNvSpPr txBox="1"/>
                      <wps:spPr>
                        <a:xfrm>
                          <a:ext cx="88709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wps:txbx>
                      <wps:bodyPr wrap="none" lIns="0" tIns="0" rIns="0" bIns="0">
                        <a:noAutoFit/>
                      </wps:bodyPr>
                    </wps:wsp>
                  </a:graphicData>
                </a:graphic>
              </wp:anchor>
            </w:drawing>
          </mc:Choice>
          <mc:Fallback>
            <w:pict>
              <v:shape id="_x0000_s1063" type="#_x0000_t202" style="position:absolute;margin-left:495.25pt;margin-top:6.pt;width:69.850000000000009pt;height:19.900000000000002pt;z-index:-125829363;mso-wrap-distance-left:0;mso-wrap-distance-top:6.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v:textbox>
                <w10:wrap type="topAndBottom" anchorx="page"/>
              </v:shape>
            </w:pict>
          </mc:Fallback>
        </mc:AlternateConten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СЕРТИФИКАТЕ ЭП</w:t>
      </w:r>
    </w:p>
    <w:p>
      <w:pPr>
        <w:pStyle w:val="Style21"/>
        <w:keepNext w:val="0"/>
        <w:keepLines w:val="0"/>
        <w:widowControl w:val="0"/>
        <w:shd w:val="clear" w:color="auto" w:fill="auto"/>
        <w:bidi w:val="0"/>
        <w:spacing w:before="0" w:after="0" w:line="240" w:lineRule="auto"/>
        <w:ind w:right="0" w:firstLine="0"/>
        <w:jc w:val="left"/>
      </w:pPr>
      <w:r>
        <w:rPr>
          <w:color w:val="676767"/>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Узкий Николай Александрович</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0ОСС5А1А1С303О775Е8423Е1</w:t>
      </w:r>
      <w:r>
        <w:rPr>
          <w:color w:val="000000"/>
          <w:spacing w:val="0"/>
          <w:w w:val="100"/>
          <w:position w:val="0"/>
          <w:shd w:val="clear" w:color="auto" w:fill="auto"/>
          <w:lang w:val="ru-RU" w:eastAsia="ru-RU" w:bidi="ru-RU"/>
        </w:rPr>
        <w:t>1</w:t>
      </w:r>
      <w:r>
        <w:rPr>
          <w:spacing w:val="0"/>
          <w:w w:val="100"/>
          <w:position w:val="0"/>
          <w:shd w:val="clear" w:color="auto" w:fill="auto"/>
          <w:lang w:val="ru-RU" w:eastAsia="ru-RU" w:bidi="ru-RU"/>
        </w:rPr>
        <w:t>867182162</w:t>
      </w:r>
    </w:p>
    <w:p>
      <w:pPr>
        <w:pStyle w:val="Style21"/>
        <w:keepNext w:val="0"/>
        <w:keepLines w:val="0"/>
        <w:widowControl w:val="0"/>
        <w:shd w:val="clear" w:color="auto" w:fill="auto"/>
        <w:bidi w:val="0"/>
        <w:spacing w:before="0" w:after="38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24.01.2023 </w:t>
      </w:r>
      <w:r>
        <w:rPr>
          <w:color w:val="67676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19"/>
        <w:keepNext/>
        <w:keepLines/>
        <w:widowControl w:val="0"/>
        <w:shd w:val="clear" w:color="auto" w:fill="auto"/>
        <w:bidi w:val="0"/>
        <w:spacing w:before="0" w:after="370" w:line="240" w:lineRule="auto"/>
        <w:ind w:left="0" w:right="0" w:firstLine="0"/>
        <w:jc w:val="right"/>
      </w:pPr>
      <w:r>
        <w:drawing>
          <wp:anchor distT="0" distB="0" distL="114300" distR="1900555" simplePos="0" relativeHeight="125829392" behindDoc="0" locked="0" layoutInCell="1" allowOverlap="1">
            <wp:simplePos x="0" y="0"/>
            <wp:positionH relativeFrom="page">
              <wp:posOffset>2988310</wp:posOffset>
            </wp:positionH>
            <wp:positionV relativeFrom="paragraph">
              <wp:posOffset>63500</wp:posOffset>
            </wp:positionV>
            <wp:extent cx="365760" cy="40259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2"/>
                    <a:stretch/>
                  </pic:blipFill>
                  <pic:spPr>
                    <a:xfrm>
                      <a:ext cx="365760" cy="4025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3418205</wp:posOffset>
                </wp:positionH>
                <wp:positionV relativeFrom="paragraph">
                  <wp:posOffset>154940</wp:posOffset>
                </wp:positionV>
                <wp:extent cx="1722120" cy="255905"/>
                <wp:wrapNone/>
                <wp:docPr id="41" name="Shape 4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69.14999999999998pt;margin-top:12.200000000000001pt;width:135.59999999999999pt;height:20.15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bookmarkStart w:id="2" w:name="bookmark2"/>
      <w:r>
        <w:rPr>
          <w:color w:val="000000"/>
          <w:spacing w:val="0"/>
          <w:w w:val="100"/>
          <w:position w:val="0"/>
          <w:shd w:val="clear" w:color="auto" w:fill="auto"/>
          <w:lang w:val="ru-RU" w:eastAsia="ru-RU" w:bidi="ru-RU"/>
        </w:rPr>
        <w:t>М.О. Мацнева</w:t>
      </w:r>
      <w:bookmarkEnd w:id="2"/>
    </w:p>
    <w:p>
      <w:pPr>
        <w:pStyle w:val="Style25"/>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 xml:space="preserve">СЕРТИФИКАТЕ </w:t>
      </w:r>
      <w:r>
        <w:rPr>
          <w:color w:val="FFFFFF"/>
          <w:spacing w:val="0"/>
          <w:w w:val="100"/>
          <w:position w:val="0"/>
          <w:shd w:val="clear" w:color="auto" w:fill="auto"/>
          <w:lang w:val="ru-RU" w:eastAsia="ru-RU" w:bidi="ru-RU"/>
        </w:rPr>
        <w:t>ЭП</w:t>
      </w:r>
    </w:p>
    <w:p>
      <w:pPr>
        <w:pStyle w:val="Style21"/>
        <w:keepNext w:val="0"/>
        <w:keepLines w:val="0"/>
        <w:widowControl w:val="0"/>
        <w:shd w:val="clear" w:color="auto" w:fill="auto"/>
        <w:bidi w:val="0"/>
        <w:spacing w:before="0" w:after="0" w:line="240" w:lineRule="auto"/>
        <w:ind w:right="0" w:firstLine="0"/>
        <w:jc w:val="left"/>
      </w:pPr>
      <w:r>
        <w:rPr>
          <w:color w:val="676767"/>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Мацнева Мария Олеговна</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76767"/>
          <w:spacing w:val="0"/>
          <w:w w:val="100"/>
          <w:position w:val="0"/>
          <w:shd w:val="clear" w:color="auto" w:fill="auto"/>
          <w:lang w:val="ru-RU" w:eastAsia="ru-RU" w:bidi="ru-RU"/>
        </w:rPr>
        <w:t>008926921</w:t>
      </w:r>
      <w:r>
        <w:rPr>
          <w:color w:val="000000"/>
          <w:spacing w:val="0"/>
          <w:w w:val="100"/>
          <w:position w:val="0"/>
          <w:shd w:val="clear" w:color="auto" w:fill="auto"/>
          <w:lang w:val="ru-RU" w:eastAsia="ru-RU" w:bidi="ru-RU"/>
        </w:rPr>
        <w:t>ЕВ71</w:t>
      </w:r>
      <w:r>
        <w:rPr>
          <w:spacing w:val="0"/>
          <w:w w:val="100"/>
          <w:position w:val="0"/>
          <w:shd w:val="clear" w:color="auto" w:fill="auto"/>
          <w:lang w:val="ru-RU" w:eastAsia="ru-RU" w:bidi="ru-RU"/>
        </w:rPr>
        <w:t>Е0631</w:t>
      </w:r>
      <w:r>
        <w:rPr>
          <w:color w:val="000000"/>
          <w:spacing w:val="0"/>
          <w:w w:val="100"/>
          <w:position w:val="0"/>
          <w:shd w:val="clear" w:color="auto" w:fill="auto"/>
          <w:lang w:val="ru-RU" w:eastAsia="ru-RU" w:bidi="ru-RU"/>
        </w:rPr>
        <w:t>А2ЕР1</w:t>
      </w:r>
      <w:r>
        <w:rPr>
          <w:spacing w:val="0"/>
          <w:w w:val="100"/>
          <w:position w:val="0"/>
          <w:shd w:val="clear" w:color="auto" w:fill="auto"/>
          <w:lang w:val="ru-RU" w:eastAsia="ru-RU" w:bidi="ru-RU"/>
        </w:rPr>
        <w:t>9ЕВВ8Е80В4Е</w:t>
      </w:r>
    </w:p>
    <w:p>
      <w:pPr>
        <w:pStyle w:val="Style21"/>
        <w:keepNext w:val="0"/>
        <w:keepLines w:val="0"/>
        <w:widowControl w:val="0"/>
        <w:shd w:val="clear" w:color="auto" w:fill="auto"/>
        <w:bidi w:val="0"/>
        <w:spacing w:before="0" w:after="124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28.03.2023 </w:t>
      </w:r>
      <w:r>
        <w:rPr>
          <w:color w:val="676767"/>
          <w:spacing w:val="0"/>
          <w:w w:val="100"/>
          <w:position w:val="0"/>
          <w:shd w:val="clear" w:color="auto" w:fill="auto"/>
          <w:lang w:val="ru-RU" w:eastAsia="ru-RU" w:bidi="ru-RU"/>
        </w:rPr>
        <w:t>по 20.06.2024</w:t>
      </w:r>
    </w:p>
    <w:p>
      <w:pPr>
        <w:pStyle w:val="Style2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Исп.Мацнева М.О. тел.8(495)784-75-05</w:t>
      </w:r>
    </w:p>
    <w:sectPr>
      <w:footnotePr>
        <w:pos w:val="pageBottom"/>
        <w:numFmt w:val="decimal"/>
        <w:numRestart w:val="continuous"/>
      </w:footnotePr>
      <w:type w:val="continuous"/>
      <w:pgSz w:w="11900" w:h="16840"/>
      <w:pgMar w:top="1479" w:right="527" w:bottom="147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10217150</wp:posOffset>
              </wp:positionV>
              <wp:extent cx="719455" cy="100330"/>
              <wp:wrapNone/>
              <wp:docPr id="7" name="Shape 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2023-61205</w:t>
                          </w:r>
                        </w:p>
                      </w:txbxContent>
                    </wps:txbx>
                    <wps:bodyPr wrap="none" lIns="0" tIns="0" rIns="0" bIns="0">
                      <a:spAutoFit/>
                    </wps:bodyPr>
                  </wps:wsp>
                </a:graphicData>
              </a:graphic>
            </wp:anchor>
          </w:drawing>
        </mc:Choice>
        <mc:Fallback>
          <w:pict>
            <v:shape id="_x0000_s1033" type="#_x0000_t202" style="position:absolute;margin-left:57.pt;margin-top:804.5pt;width:56.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2023-61205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22630" cy="100330"/>
              <wp:wrapNone/>
              <wp:docPr id="13" name="Shape 1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2023-61205</w:t>
                          </w:r>
                        </w:p>
                      </w:txbxContent>
                    </wps:txbx>
                    <wps:bodyPr wrap="none" lIns="0" tIns="0" rIns="0" bIns="0">
                      <a:spAutoFit/>
                    </wps:bodyPr>
                  </wps:wsp>
                </a:graphicData>
              </a:graphic>
            </wp:anchor>
          </w:drawing>
        </mc:Choice>
        <mc:Fallback>
          <w:pict>
            <v:shape id="_x0000_s1039" type="#_x0000_t202" style="position:absolute;margin-left:57.200000000000003pt;margin-top:794.70000000000005pt;width:56.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2023-61205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10092690</wp:posOffset>
              </wp:positionV>
              <wp:extent cx="722630" cy="100330"/>
              <wp:wrapNone/>
              <wp:docPr id="19" name="Shape 1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2023-61205</w:t>
                          </w:r>
                        </w:p>
                      </w:txbxContent>
                    </wps:txbx>
                    <wps:bodyPr wrap="none" lIns="0" tIns="0" rIns="0" bIns="0">
                      <a:spAutoFit/>
                    </wps:bodyPr>
                  </wps:wsp>
                </a:graphicData>
              </a:graphic>
            </wp:anchor>
          </w:drawing>
        </mc:Choice>
        <mc:Fallback>
          <w:pict>
            <v:shape id="_x0000_s1045" type="#_x0000_t202" style="position:absolute;margin-left:57.200000000000003pt;margin-top:794.70000000000005pt;width:56.89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2023-61205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3924300</wp:posOffset>
              </wp:positionH>
              <wp:positionV relativeFrom="page">
                <wp:posOffset>476250</wp:posOffset>
              </wp:positionV>
              <wp:extent cx="67310" cy="103505"/>
              <wp:wrapNone/>
              <wp:docPr id="9" name="Shape 9"/>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9.pt;margin-top:37.5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3930015</wp:posOffset>
              </wp:positionH>
              <wp:positionV relativeFrom="page">
                <wp:posOffset>476250</wp:posOffset>
              </wp:positionV>
              <wp:extent cx="57785" cy="103505"/>
              <wp:wrapNone/>
              <wp:docPr id="11" name="Shape 11"/>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44999999999999pt;margin-top:37.5pt;width:4.5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3924300</wp:posOffset>
              </wp:positionH>
              <wp:positionV relativeFrom="page">
                <wp:posOffset>476250</wp:posOffset>
              </wp:positionV>
              <wp:extent cx="67310" cy="103505"/>
              <wp:wrapNone/>
              <wp:docPr id="15" name="Shape 1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pt;margin-top:37.5pt;width:5.29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3930015</wp:posOffset>
              </wp:positionH>
              <wp:positionV relativeFrom="page">
                <wp:posOffset>476250</wp:posOffset>
              </wp:positionV>
              <wp:extent cx="57785" cy="103505"/>
              <wp:wrapNone/>
              <wp:docPr id="17" name="Shape 17"/>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44999999999999pt;margin-top:37.5pt;width:4.54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Колонтитул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Подпись к картинке_"/>
    <w:basedOn w:val="DefaultParagraphFont"/>
    <w:link w:val="Style15"/>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0">
    <w:name w:val="Заголовок №1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Основной текст (2)_"/>
    <w:basedOn w:val="DefaultParagraphFont"/>
    <w:link w:val="Style21"/>
    <w:rPr>
      <w:rFonts w:ascii="Arial" w:eastAsia="Arial" w:hAnsi="Arial" w:cs="Arial"/>
      <w:b w:val="0"/>
      <w:bCs w:val="0"/>
      <w:i w:val="0"/>
      <w:iCs w:val="0"/>
      <w:smallCaps w:val="0"/>
      <w:strike w:val="0"/>
      <w:color w:val="444444"/>
      <w:sz w:val="12"/>
      <w:szCs w:val="12"/>
      <w:u w:val="none"/>
    </w:rPr>
  </w:style>
  <w:style w:type="character" w:customStyle="1" w:styleId="CharStyle26">
    <w:name w:val="Основной текст (4)_"/>
    <w:basedOn w:val="DefaultParagraphFont"/>
    <w:link w:val="Style25"/>
    <w:rPr>
      <w:rFonts w:ascii="Georgia" w:eastAsia="Georgia" w:hAnsi="Georgia" w:cs="Georgia"/>
      <w:b w:val="0"/>
      <w:bCs w:val="0"/>
      <w:i w:val="0"/>
      <w:iCs w:val="0"/>
      <w:smallCaps w:val="0"/>
      <w:strike w:val="0"/>
      <w:color w:val="E8E8E8"/>
      <w:sz w:val="12"/>
      <w:szCs w:val="12"/>
      <w:u w:val="none"/>
    </w:rPr>
  </w:style>
  <w:style w:type="character" w:customStyle="1" w:styleId="CharStyle30">
    <w:name w:val="Основной текст (5)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Колонтитул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Подпись к картинке"/>
    <w:basedOn w:val="Normal"/>
    <w:link w:val="CharStyle1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19">
    <w:name w:val="Заголовок №1"/>
    <w:basedOn w:val="Normal"/>
    <w:link w:val="CharStyle20"/>
    <w:pPr>
      <w:widowControl w:val="0"/>
      <w:shd w:val="clear" w:color="auto" w:fill="auto"/>
      <w:spacing w:after="190"/>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Основной текст (2)"/>
    <w:basedOn w:val="Normal"/>
    <w:link w:val="CharStyle22"/>
    <w:pPr>
      <w:widowControl w:val="0"/>
      <w:shd w:val="clear" w:color="auto" w:fill="auto"/>
      <w:ind w:left="3640"/>
    </w:pPr>
    <w:rPr>
      <w:rFonts w:ascii="Arial" w:eastAsia="Arial" w:hAnsi="Arial" w:cs="Arial"/>
      <w:b w:val="0"/>
      <w:bCs w:val="0"/>
      <w:i w:val="0"/>
      <w:iCs w:val="0"/>
      <w:smallCaps w:val="0"/>
      <w:strike w:val="0"/>
      <w:color w:val="444444"/>
      <w:sz w:val="12"/>
      <w:szCs w:val="12"/>
      <w:u w:val="none"/>
    </w:rPr>
  </w:style>
  <w:style w:type="paragraph" w:customStyle="1" w:styleId="Style25">
    <w:name w:val="Основной текст (4)"/>
    <w:basedOn w:val="Normal"/>
    <w:link w:val="CharStyle26"/>
    <w:pPr>
      <w:widowControl w:val="0"/>
      <w:shd w:val="clear" w:color="auto" w:fill="auto"/>
      <w:spacing w:after="100"/>
      <w:ind w:left="4340"/>
    </w:pPr>
    <w:rPr>
      <w:rFonts w:ascii="Georgia" w:eastAsia="Georgia" w:hAnsi="Georgia" w:cs="Georgia"/>
      <w:b w:val="0"/>
      <w:bCs w:val="0"/>
      <w:i w:val="0"/>
      <w:iCs w:val="0"/>
      <w:smallCaps w:val="0"/>
      <w:strike w:val="0"/>
      <w:color w:val="E8E8E8"/>
      <w:sz w:val="12"/>
      <w:szCs w:val="12"/>
      <w:u w:val="none"/>
    </w:rPr>
  </w:style>
  <w:style w:type="paragraph" w:customStyle="1" w:styleId="Style29">
    <w:name w:val="Основной текст (5)"/>
    <w:basedOn w:val="Normal"/>
    <w:link w:val="CharStyle30"/>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header" Target="header3.xml"/><Relationship Id="rId15" Type="http://schemas.openxmlformats.org/officeDocument/2006/relationships/footer" Target="footer4.xml"/><Relationship Id="rId16" Type="http://schemas.openxmlformats.org/officeDocument/2006/relationships/header" Target="header4.xml"/><Relationship Id="rId17" Type="http://schemas.openxmlformats.org/officeDocument/2006/relationships/footer" Target="footer5.xml"/><Relationship Id="rId18" Type="http://schemas.openxmlformats.org/officeDocument/2006/relationships/image" Target="media/image3.jpeg"/><Relationship Id="rId19" Type="http://schemas.openxmlformats.org/officeDocument/2006/relationships/image" Target="media/image3.jpeg" TargetMode="External"/><Relationship Id="rId20" Type="http://schemas.openxmlformats.org/officeDocument/2006/relationships/image" Target="media/image4.jpeg"/><Relationship Id="rId21" Type="http://schemas.openxmlformats.org/officeDocument/2006/relationships/image" Target="media/image4.jpeg" TargetMode="External"/><Relationship Id="rId22" Type="http://schemas.openxmlformats.org/officeDocument/2006/relationships/image" Target="media/image5.jpeg"/><Relationship Id="rId23" Type="http://schemas.openxmlformats.org/officeDocument/2006/relationships/image" Target="media/image5.jpeg" TargetMode="External"/></Relationships>
</file>