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823595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53770/23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849999999999994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53770/23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725805</wp:posOffset>
                </wp:positionH>
                <wp:positionV relativeFrom="paragraph">
                  <wp:posOffset>4178935</wp:posOffset>
                </wp:positionV>
                <wp:extent cx="1195070" cy="460375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4603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12.12.2023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68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Комиссия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149999999999999pt;margin-top:329.05000000000001pt;width:94.100000000000009pt;height:36.25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12.12.2023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68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Комиссия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«АЗ (КС)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а/1&lt;у@/с1гау.тоуп1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Тырыкин К. 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игакепдег@тЪох.ги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077/06/106-17525/2023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Управления Федеральной антимонопольной службы по г. Москве по контролю в сфере закупок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видеоконференц-связи) при участии представителей ГКУ «АЗ (КС) ДЗМ»: И.Л. Рогова (по доверенности № 27 от 27.01.2023), Л.Г. Ефтени (по доверенности № 3 от 09.01.2023),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Тырыкин К.В., о времени и порядке заседания Комиссии Управления уведомленных надлежащим образом посредством функционала Единой информационной системы,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Тырыкин К.В. (далее - Заявитель) на действия ГКУ АЗ (КС) ДЗМ (далее — Заказчик) при проведении запроса котировок в электронной форме на право заключения государственного контракта на поставку системы физиотерапевтической для электростимуляции в рамках реализации Государственной программы города Москвы «Развитие здравоохранения города Москвы (Столичное здравоохранение)» (МО2023-629) (Закупка № 0873200009823003442) (далее - запрос котировок, закупка), в соответствии с Федеральным законом от 05.04.2013 № 44-ФЗ «О контрактной системе в сфере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вышеуказанной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установленные Заказчиком требования к характеристикам необходимого к поставке изделия по п.1 «Система физиотерапевтическая для электростимуляции, с питанием от сети» ограничивают круг участников закупки, поскольку совокупности установленных требований соответствуют исключительно изделие единственного производителя АО «Нижегородское научно-производственное объединение имени М.В. Фрунзе» - «Амплипульс 5.2» (ТУ ТНЯИ.941519.003, Россия, РУ № РЗН 2015/2868 от 26.10.2017), при этом ограничивающими требованиями являются: «Потребляемая мощность, Не более 38 ВА; Ящик укладочный, Наличие; Держатель для круглых электродов, Наличие; Электрод-прерыватель, Наличие; Электрод 0 50 мм, Не менее 3 Шт.; Электрод 0 26 мм, Не менее 3 Шт.; Кабель для присоединения круглых электродов, Наличие Шт. Кабель для присоединения пластинчатых электродов, Наличие Шт.; Электрод пластинчатый, Не менее 10 Шт; Подушка для круглого электрода, Не менее 10 Шт; Кабель для осуществления перехода с круглого электрода на пластинчатый, Наличие Шт; Ремень резиновый, Не менее 1 Шт; Пружина, Не менее 1 Шт».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64" w:lineRule="auto"/>
        <w:ind w:left="0" w:right="0" w:firstLine="700"/>
        <w:jc w:val="both"/>
        <w:rPr>
          <w:sz w:val="22"/>
          <w:szCs w:val="22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84" w:right="537" w:bottom="771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2023-61086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 Заказчиком установлены в том числе следующие требования к изделию по п.1 «Система физиотерапевтическая для электростимуляции, с питанием от сети»:</w:t>
      </w:r>
    </w:p>
    <w:tbl>
      <w:tblPr>
        <w:tblOverlap w:val="never"/>
        <w:jc w:val="center"/>
        <w:tblLayout w:type="fixed"/>
      </w:tblPr>
      <w:tblGrid>
        <w:gridCol w:w="754"/>
        <w:gridCol w:w="4334"/>
        <w:gridCol w:w="2621"/>
        <w:gridCol w:w="2510"/>
      </w:tblGrid>
      <w:tr>
        <w:trPr>
          <w:trHeight w:val="25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Аппарат предназначен для лечебного воздействия модулированными синусоидальными токами звуковой частоты в физиотерапевтических кабинетах медицинских учреждений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Возрастная группа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Взрослые и дети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Режимы работы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Шт.</w:t>
            </w: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Частота несущих колебаний синусоидальной формы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5000±100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Гц.</w:t>
            </w: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Коэффициент гармоник напряжения несущих колебаний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более 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%</w:t>
            </w:r>
          </w:p>
        </w:tc>
      </w:tr>
      <w:tr>
        <w:trPr>
          <w:trHeight w:val="10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Частота модулирующего напряжения синусоидальной формы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10, 20, 30, 50, 80,100 и 150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Гц.</w:t>
            </w:r>
          </w:p>
        </w:tc>
      </w:tr>
      <w:tr>
        <w:trPr>
          <w:trHeight w:val="10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Относительная погрешность установки частоты модулирующих колебаний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более 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%</w:t>
            </w: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Электробезопасно 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класс II с рабочей частью типа ВР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Режим перемодуляции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Аппарат обеспечивает регулировку тока пациента-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0-100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мА</w:t>
            </w: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Установка тока пациента в трех диапазонах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Блокировка переключения диапазонов тока пациента при введенном регуляторе тока.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8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Процедурный таймер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754"/>
        <w:gridCol w:w="4334"/>
        <w:gridCol w:w="2621"/>
        <w:gridCol w:w="2510"/>
      </w:tblGrid>
      <w:tr>
        <w:trPr>
          <w:trHeight w:val="16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7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13.1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Запаздывание автоматического выключения тока пациента относительно звукового сигнала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более 15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секунда</w:t>
            </w:r>
          </w:p>
        </w:tc>
      </w:tr>
      <w:tr>
        <w:trPr>
          <w:trHeight w:val="9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Звуковой сигнал по истечении установленного времени процедуры автоматическое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1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Аппарат выдерживает без нарушения работоспособности короткое замыкание цепи пациента в течение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более 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34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минута</w:t>
            </w:r>
          </w:p>
        </w:tc>
      </w:tr>
      <w:tr>
        <w:trPr>
          <w:trHeight w:val="10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15.1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непрерывную работу в рабочих условиях при сохранении своих технических характеристик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час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Потребляемая мощность,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более 38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ВА</w:t>
            </w: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Комплектация на каждую единицу оборудования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17.1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Ящик укладочный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17.2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Держатель для круглых электродов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5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17.3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Электрод-прерыватель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17.4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Электрод 0 50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Шт.</w:t>
            </w:r>
          </w:p>
        </w:tc>
      </w:tr>
      <w:tr>
        <w:trPr>
          <w:trHeight w:val="6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17.5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Электрод 0 26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Шт.</w:t>
            </w:r>
          </w:p>
        </w:tc>
      </w:tr>
      <w:tr>
        <w:trPr>
          <w:trHeight w:val="9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17.6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Кабель для присоединения круглых электродов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Шт.</w:t>
            </w:r>
          </w:p>
        </w:tc>
      </w:tr>
      <w:tr>
        <w:trPr>
          <w:trHeight w:val="9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17.7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Кабель для присоединения пластинчатых электродов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Шт.</w:t>
            </w:r>
          </w:p>
        </w:tc>
      </w:tr>
      <w:tr>
        <w:trPr>
          <w:trHeight w:val="3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17.8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Электрод пластинчатый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Шт</w:t>
            </w:r>
          </w:p>
        </w:tc>
      </w:tr>
      <w:tr>
        <w:trPr>
          <w:trHeight w:val="65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17.9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Подушка для круглого электрода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Шт</w:t>
            </w:r>
          </w:p>
        </w:tc>
      </w:tr>
      <w:tr>
        <w:trPr>
          <w:trHeight w:val="33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17.1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Кабель для осуществления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Шт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754"/>
        <w:gridCol w:w="4334"/>
        <w:gridCol w:w="2621"/>
        <w:gridCol w:w="2510"/>
      </w:tblGrid>
      <w:tr>
        <w:trPr>
          <w:trHeight w:val="97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перехода с круглого электрода на пластинчатый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17.1 1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Ремень резиновый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Шт</w:t>
            </w: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17.1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Пружина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Шт</w:t>
            </w:r>
          </w:p>
        </w:tc>
      </w:tr>
      <w:tr>
        <w:trPr>
          <w:trHeight w:val="696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Общие требования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Товар произведен не ранее 2023 года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7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Регистрационное удостоверение на все поставляемые медицинские изделия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18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Декларация о соответствии или сертификат соответствия или качества товара, в случае если данный товар подлежит обязательному декларированию или сертификации в соответствии с требованиями законодательства Российской Федерации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33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Инструкция по использованию на русском языке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</w:tbl>
    <w:p>
      <w:pPr>
        <w:widowControl w:val="0"/>
        <w:spacing w:after="19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требования к закупаемому изделию сформированы Заказчиком в соответствии с потребностью учреждения в изделии с указанными в описании объекта закупки характеристиками, при этом, помимо изделия «Амплипульс 5.2», требованиям извещения также соответствуют аппарат низкочастотный физиотерапевтический «Амплипульс-5» (ЕХ 2.893.063 ТУ, Россия, РУ № ФСР 2010/07105 от 26.10.2017), производства АО «Нижегородское научно-производственное объединение имени М.В. Фрунзе».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обосновании своей позиции, представитель Заказчика представил следующие документы, подтверждающие соответствие изделия производства компании «Амплипульс-5» совокупности требований извещения: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Аналитическая таблица «Амплипульс 5.2» и «Амплипульс-5», содержащую в том числе следующее указание: «Амплипульс-5»: Потребляемая мощность: 22 ВА* (отсутствует в инструкции, методика расчета в конце таблицы).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инструкцию по эксплуатации изделия «Амплипульс-5», содержащую в том числе следующее указание: «Мощность, потребляемая аппаратом от сети питания при номинальном напряжении не превышает 55 ВА».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Управления отмечает, что при наличии противоречивых сведений, содержащихся в документах уполномоченного производителя и документах, размещенных в Реестре медицинских изделий, Комиссия Управления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руководствуется документами и информации размещенной в Реестре медицинских изделий.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Комиссией Управления установлено, что в представленной инструкции изделия «Амплипульс 5», в том числе указана характеристика: «Мощность, потребляемая аппаратом от сети питания при номинальном напряжении, должна быть не более 60 ВА.», которая свидетельствует о том, что Потребляемая мощность может составлять более 38 ВА, что не соответствует требованиям извещения.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Комиссии Управления не представляется возможным прийти к выводу о соответствии совокупности требований извещения изделия «Амплипульс 5».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Комиссия Управления отмечает, что Заказчику необходимо обладать документально подтвержденными сведениями о соответствии продукции как минимум двух производителей, в то время как Заказчик возражает против доводов жалобы соответствием аналогичного оборудования того же производителя, что и «Амплипульс 5.2».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вышеизложенного, в отсутствие доказательств соответствия требованиям извещения изделий нескольких производителей, Комиссия Управления приходит к выводу, что требованиям извещения соответствуют исключительно изделие «Амплипульс 5.2».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своей жалобе Заявитель указывает на техническую ошибку, не позволяющую в принципе поставить изделие с такой характеристикой электробезопасности класс II с рабочей частью несуществующего типа ВР, при этом верным типом является ВГ.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на заседании Комиссии Управления представитель Заказчика не отрицал наличие технической ошибки в описании указанной характеристики.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нарушении Заказчиком п.1 ч.1 ст.33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ч.4.1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9" w:bottom="1287" w:left="110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4"/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Тырыкин К.В. на действия ГКУ «АЗ (КС) ДЗМ» Минздрава России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положений п.1 ч.1 ст.33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4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6" w:bottom="155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356870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533400</wp:posOffset>
                </wp:positionV>
                <wp:extent cx="185039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950000000000003pt;margin-top:42.pt;width:145.70000000000002pt;height:19.900000000000002pt;z-index:-125829370;mso-wrap-distance-left:0;mso-wrap-distance-top:42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70230" distB="0" distL="0" distR="1789430" simplePos="0" relativeHeight="125829385" behindDoc="0" locked="0" layoutInCell="1" allowOverlap="1">
            <wp:simplePos x="0" y="0"/>
            <wp:positionH relativeFrom="page">
              <wp:posOffset>2872740</wp:posOffset>
            </wp:positionH>
            <wp:positionV relativeFrom="paragraph">
              <wp:posOffset>570230</wp:posOffset>
            </wp:positionV>
            <wp:extent cx="389890" cy="57277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3369310</wp:posOffset>
                </wp:positionH>
                <wp:positionV relativeFrom="paragraph">
                  <wp:posOffset>1009015</wp:posOffset>
                </wp:positionV>
                <wp:extent cx="1280160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65.30000000000001pt;margin-top:79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3323590</wp:posOffset>
                </wp:positionH>
                <wp:positionV relativeFrom="paragraph">
                  <wp:posOffset>698500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61.69999999999999pt;margin-top:55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56870" distL="0" distR="0" simplePos="0" relativeHeight="125829386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533400</wp:posOffset>
                </wp:positionV>
                <wp:extent cx="102997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7.05000000000001pt;margin-top:42.pt;width:81.100000000000009pt;height:19.900000000000002pt;z-index:-125829367;mso-wrap-distance-left:0;mso-wrap-distance-top:42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ОССА17306423В8С790А31806189СОЕ338Е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color w:val="89898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righ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2896870</wp:posOffset>
            </wp:positionH>
            <wp:positionV relativeFrom="paragraph">
              <wp:posOffset>25400</wp:posOffset>
            </wp:positionV>
            <wp:extent cx="353695" cy="53657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3357245</wp:posOffset>
                </wp:positionH>
                <wp:positionV relativeFrom="paragraph">
                  <wp:posOffset>427990</wp:posOffset>
                </wp:positionV>
                <wp:extent cx="127698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64.35000000000002pt;margin-top:33.700000000000003pt;width:100.5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3311525</wp:posOffset>
                </wp:positionH>
                <wp:positionV relativeFrom="paragraph">
                  <wp:posOffset>113665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60.75pt;margin-top:8.950000000000001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6366183222Е5ОСЕ2САЗР6О732820С91С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9" behindDoc="0" locked="0" layoutInCell="1" allowOverlap="1">
            <wp:simplePos x="0" y="0"/>
            <wp:positionH relativeFrom="page">
              <wp:posOffset>2906395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3369945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65.35000000000002pt;margin-top:36.700000000000003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3324225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61.75pt;margin-top:12.20000000000000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898989"/>
          <w:spacing w:val="0"/>
          <w:w w:val="100"/>
          <w:position w:val="0"/>
          <w:shd w:val="clear" w:color="auto" w:fill="auto"/>
          <w:lang w:val="ru-RU" w:eastAsia="ru-RU" w:bidi="ru-RU"/>
        </w:rPr>
        <w:t>11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ВЗВО45854ОЕВ6С993Е00602С0ЕВЕЕС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3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07.09.2023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30.11.2024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Исп.Рахматуллаев А.И.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6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10267315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2023-61086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950000000000003pt;margin-top:808.45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2023-61086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2023-61086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5pt;margin-top:794.70000000000005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2023-61086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426085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05000000000001pt;margin-top:33.549999999999997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25pt;margin-top:37.5pt;width:5.0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7">
    <w:name w:val="Заголовок №2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Друго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4">
    <w:name w:val="Подпись к картинк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30">
    <w:name w:val="Основной текст (2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  <w:style w:type="character" w:customStyle="1" w:styleId="CharStyle36">
    <w:name w:val="Основной текст (4)_"/>
    <w:basedOn w:val="DefaultParagraphFont"/>
    <w:link w:val="Style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6">
    <w:name w:val="Заголовок №2"/>
    <w:basedOn w:val="Normal"/>
    <w:link w:val="CharStyle17"/>
    <w:pPr>
      <w:widowControl w:val="0"/>
      <w:shd w:val="clear" w:color="auto" w:fill="auto"/>
      <w:spacing w:after="420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Другое"/>
    <w:basedOn w:val="Normal"/>
    <w:link w:val="CharStyle2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3">
    <w:name w:val="Подпись к картинке"/>
    <w:basedOn w:val="Normal"/>
    <w:link w:val="CharStyle2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9">
    <w:name w:val="Основной текст (2)"/>
    <w:basedOn w:val="Normal"/>
    <w:link w:val="CharStyle30"/>
    <w:pPr>
      <w:widowControl w:val="0"/>
      <w:shd w:val="clear" w:color="auto" w:fill="auto"/>
      <w:ind w:left="34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  <w:style w:type="paragraph" w:customStyle="1" w:styleId="Style35">
    <w:name w:val="Основной текст (4)"/>
    <w:basedOn w:val="Normal"/>
    <w:link w:val="CharStyle36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