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both"/>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«ГКБ им. В.П. Демихова ДЗМ»</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1огдБдкЪ68@уапдех.ги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«Аптечный склад»</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да1та150191@уапдех.ги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983" w:bottom="712" w:left="1140" w:header="0" w:footer="3" w:gutter="0"/>
          <w:pgNumType w:start="1"/>
          <w:cols w:num="2" w:space="720" w:equalWidth="0">
            <w:col w:w="4061" w:space="1205"/>
            <w:col w:w="4512"/>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before="114" w:after="11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94" w:right="0" w:bottom="617"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077/06/106-17287/2023 о нарушении</w:t>
        <w:br/>
        <w:t>законодательства о контрактной системе</w:t>
      </w:r>
    </w:p>
    <w:p>
      <w:pPr>
        <w:pStyle w:val="Style12"/>
        <w:keepNext/>
        <w:keepLines/>
        <w:widowControl w:val="0"/>
        <w:shd w:val="clear" w:color="auto" w:fill="auto"/>
        <w:tabs>
          <w:tab w:pos="9180" w:val="left"/>
        </w:tabs>
        <w:bidi w:val="0"/>
        <w:spacing w:before="0" w:after="0" w:line="240" w:lineRule="auto"/>
        <w:ind w:left="0" w:right="0" w:firstLine="0"/>
        <w:jc w:val="both"/>
      </w:pPr>
      <w:bookmarkStart w:id="0" w:name="bookmark0"/>
      <w:r>
        <w:rPr>
          <w:color w:val="000000"/>
          <w:spacing w:val="0"/>
          <w:w w:val="100"/>
          <w:position w:val="0"/>
          <w:shd w:val="clear" w:color="auto" w:fill="auto"/>
          <w:lang w:val="ru-RU" w:eastAsia="ru-RU" w:bidi="ru-RU"/>
        </w:rPr>
        <w:t>12.12.2023</w:t>
        <w:tab/>
        <w:t>Москва</w:t>
      </w:r>
      <w:bookmarkEnd w:id="0"/>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tabs>
          <w:tab w:pos="3608" w:val="left"/>
          <w:tab w:pos="6752" w:val="left"/>
          <w:tab w:pos="9180"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Специалиста-эксперта</w:t>
        <w:tab/>
        <w:t>отдела 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М.О.Мацневой,</w:t>
      </w:r>
    </w:p>
    <w:p>
      <w:pPr>
        <w:pStyle w:val="Style9"/>
        <w:keepNext w:val="0"/>
        <w:keepLines w:val="0"/>
        <w:widowControl w:val="0"/>
        <w:shd w:val="clear" w:color="auto" w:fill="auto"/>
        <w:tabs>
          <w:tab w:pos="3608" w:val="left"/>
          <w:tab w:pos="4830" w:val="left"/>
          <w:tab w:pos="6752" w:val="left"/>
          <w:tab w:pos="9180"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М.В.Сорбучевой,</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при участии представителя ГБУЗ «ГКБ им. В.П. Демихова ДЗМ»: Ж.А. Мамсиковой (по доверенности №б/н от 06.12.2023),</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отсутствие представителей ООО «Аптечный склад», о времени и порядке заседания Комиссии Управления уведомленных надлежащим образом Московским УФАС России,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рассмотрев жалобу ООО «Аптечный склад» (далее — Заявитель) на действия ГБУЗ «ГКБ им. В.П. Демихова ДЗМ» (далее — Заказчик) при проведении электронного аукциона на право заключения государственного контракта на поставку лекарственного(-ых) препарата(-ов) (МНН: Норэпинефрин) для нужд ГБУЗ «ГКБ имени В.П. Демихова ДЗМ» на 2024 г. (Закупка № 0373200100123000952)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w:t>
      </w:r>
      <w:r>
        <w:rPr>
          <w:color w:val="000000"/>
          <w:spacing w:val="0"/>
          <w:w w:val="100"/>
          <w:position w:val="0"/>
          <w:shd w:val="clear" w:color="auto" w:fill="auto"/>
          <w:lang w:val="ru-RU" w:eastAsia="ru-RU" w:bidi="ru-RU"/>
        </w:rPr>
        <w:t>контрактной системе),</w:t>
      </w:r>
    </w:p>
    <w:p>
      <w:pPr>
        <w:widowControl w:val="0"/>
        <w:spacing w:line="1" w:lineRule="exact"/>
      </w:pPr>
      <w:r>
        <w:drawing>
          <wp:anchor distT="50800" distB="0" distL="0" distR="0" simplePos="0" relativeHeight="125829378" behindDoc="0" locked="0" layoutInCell="1" allowOverlap="1">
            <wp:simplePos x="0" y="0"/>
            <wp:positionH relativeFrom="page">
              <wp:posOffset>717550</wp:posOffset>
            </wp:positionH>
            <wp:positionV relativeFrom="paragraph">
              <wp:posOffset>50800</wp:posOffset>
            </wp:positionV>
            <wp:extent cx="1511935" cy="28638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86385"/>
                    </a:xfrm>
                    <a:prstGeom prst="rect"/>
                  </pic:spPr>
                </pic:pic>
              </a:graphicData>
            </a:graphic>
          </wp:anchor>
        </w:drawing>
      </w:r>
    </w:p>
    <w:p>
      <w:pPr>
        <w:pStyle w:val="Style9"/>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признании заявки ООО «Аптечный склад» не соответствующей требованиям извещении об осуществлении закупки по результатам рассмотрения заявок на основании п.1 ч.12 ст.48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01.12.2023 №ИЭА1 заявка ООО «Аптечный склад» с идентификационным номером 271395 признана несоответствующей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п.1 ч.12 ст.48 №44-ФЗ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2, 3 ч. 6 ст. 43 Закона 44-ФЗ), несоответствие таких информации и документов требованиям» В заявке участника предложен лекарственный препарат, происходящий из иностранного государства. Заявка участника отклонена в соответствии с требованиями Постановление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keepNext w:val="0"/>
        <w:keepLines w:val="0"/>
        <w:widowControl w:val="0"/>
        <w:numPr>
          <w:ilvl w:val="0"/>
          <w:numId w:val="1"/>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3"/>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ч.12 ст. 48 Закона о контрактной системе;</w:t>
      </w:r>
    </w:p>
    <w:p>
      <w:pPr>
        <w:pStyle w:val="Style9"/>
        <w:keepNext w:val="0"/>
        <w:keepLines w:val="0"/>
        <w:widowControl w:val="0"/>
        <w:numPr>
          <w:ilvl w:val="0"/>
          <w:numId w:val="3"/>
        </w:numPr>
        <w:shd w:val="clear" w:color="auto" w:fill="auto"/>
        <w:tabs>
          <w:tab w:pos="1071" w:val="left"/>
        </w:tabs>
        <w:bidi w:val="0"/>
        <w:spacing w:before="0" w:after="0" w:line="276" w:lineRule="auto"/>
        <w:ind w:left="0" w:right="0" w:firstLine="740"/>
        <w:jc w:val="both"/>
        <w:rPr>
          <w:sz w:val="22"/>
          <w:szCs w:val="22"/>
        </w:rPr>
        <w:sectPr>
          <w:footnotePr>
            <w:pos w:val="pageBottom"/>
            <w:numFmt w:val="decimal"/>
            <w:numRestart w:val="continuous"/>
          </w:footnotePr>
          <w:type w:val="continuous"/>
          <w:pgSz w:w="11900" w:h="16840"/>
          <w:pgMar w:top="594" w:right="535" w:bottom="617" w:left="109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w:t>
      </w:r>
      <w:r>
        <w:rPr>
          <w:rFonts w:ascii="Cambria" w:eastAsia="Cambria" w:hAnsi="Cambria" w:cs="Cambria"/>
          <w:color w:val="000000"/>
          <w:spacing w:val="0"/>
          <w:w w:val="100"/>
          <w:position w:val="0"/>
          <w:sz w:val="22"/>
          <w:szCs w:val="22"/>
          <w:shd w:val="clear" w:color="auto" w:fill="auto"/>
          <w:lang w:val="ru-RU" w:eastAsia="ru-RU" w:bidi="ru-RU"/>
        </w:rPr>
        <w:t>2023-60941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закупки, подавшего такую заявку (за исключением случая, предусмотренного п. 9 ч. 3 ст.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numPr>
          <w:ilvl w:val="0"/>
          <w:numId w:val="1"/>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5"/>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5"/>
        </w:numPr>
        <w:shd w:val="clear" w:color="auto" w:fill="auto"/>
        <w:tabs>
          <w:tab w:pos="1077" w:val="left"/>
        </w:tabs>
        <w:bidi w:val="0"/>
        <w:spacing w:before="0" w:after="0" w:line="240" w:lineRule="auto"/>
        <w:ind w:left="0" w:right="0" w:firstLine="720"/>
        <w:jc w:val="both"/>
      </w:pPr>
      <w:r>
        <w:rPr>
          <w:b/>
          <w:bCs/>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5"/>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5"/>
        </w:numPr>
        <w:shd w:val="clear" w:color="auto" w:fill="auto"/>
        <w:tabs>
          <w:tab w:pos="10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5"/>
        </w:numPr>
        <w:shd w:val="clear" w:color="auto" w:fill="auto"/>
        <w:tabs>
          <w:tab w:pos="179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9"/>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рамках проведения рассматриваемого аукциона установлены ограничения допуска отдельных видов лекарственных препаратов, включенных в перечень жизненно необходимых и важнейших лекарственных препаратов и происходящих из иностранных государств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w:t>
      </w:r>
    </w:p>
    <w:p>
      <w:pPr>
        <w:pStyle w:val="Style9"/>
        <w:keepNext w:val="0"/>
        <w:keepLines w:val="0"/>
        <w:widowControl w:val="0"/>
        <w:shd w:val="clear" w:color="auto" w:fill="auto"/>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162" w:right="546" w:bottom="1114" w:left="1106" w:header="0" w:footer="3" w:gutter="0"/>
          <w:cols w:space="720"/>
          <w:noEndnote/>
          <w:rtlGutter w:val="0"/>
          <w:docGrid w:linePitch="360"/>
        </w:sectPr>
      </w:pPr>
      <w:r>
        <w:rPr>
          <w:color w:val="000000"/>
          <w:spacing w:val="0"/>
          <w:w w:val="100"/>
          <w:position w:val="0"/>
          <w:shd w:val="clear" w:color="auto" w:fill="auto"/>
          <w:lang w:val="ru-RU" w:eastAsia="ru-RU" w:bidi="ru-RU"/>
        </w:rPr>
        <w:t>В соответствии с п. 5 ч. 1 ст.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постановления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9"/>
        <w:keepNext w:val="0"/>
        <w:keepLines w:val="0"/>
        <w:widowControl w:val="0"/>
        <w:numPr>
          <w:ilvl w:val="0"/>
          <w:numId w:val="7"/>
        </w:numPr>
        <w:shd w:val="clear" w:color="auto" w:fill="auto"/>
        <w:tabs>
          <w:tab w:pos="10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9"/>
        <w:keepNext w:val="0"/>
        <w:keepLines w:val="0"/>
        <w:widowControl w:val="0"/>
        <w:numPr>
          <w:ilvl w:val="0"/>
          <w:numId w:val="7"/>
        </w:numPr>
        <w:shd w:val="clear" w:color="auto" w:fill="auto"/>
        <w:tabs>
          <w:tab w:pos="10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п.2 постановления №1289 подтверждением страны происхождения лекарственного препарата является один из следующих документов:</w:t>
      </w:r>
    </w:p>
    <w:p>
      <w:pPr>
        <w:pStyle w:val="Style9"/>
        <w:keepNext w:val="0"/>
        <w:keepLines w:val="0"/>
        <w:widowControl w:val="0"/>
        <w:numPr>
          <w:ilvl w:val="0"/>
          <w:numId w:val="9"/>
        </w:numPr>
        <w:shd w:val="clear" w:color="auto" w:fill="auto"/>
        <w:tabs>
          <w:tab w:pos="1003"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numPr>
          <w:ilvl w:val="0"/>
          <w:numId w:val="9"/>
        </w:numPr>
        <w:shd w:val="clear" w:color="auto" w:fill="auto"/>
        <w:tabs>
          <w:tab w:pos="1003" w:val="left"/>
        </w:tabs>
        <w:bidi w:val="0"/>
        <w:spacing w:before="0" w:after="0" w:line="300" w:lineRule="auto"/>
        <w:ind w:left="0" w:right="0" w:firstLine="560"/>
        <w:jc w:val="both"/>
        <w:rPr>
          <w:sz w:val="22"/>
          <w:szCs w:val="22"/>
        </w:rPr>
      </w:pPr>
      <w:r>
        <w:rPr>
          <w:color w:val="000000"/>
          <w:spacing w:val="0"/>
          <w:w w:val="100"/>
          <w:position w:val="0"/>
          <w:sz w:val="28"/>
          <w:szCs w:val="28"/>
          <w:shd w:val="clear" w:color="auto" w:fill="auto"/>
          <w:lang w:val="ru-RU" w:eastAsia="ru-RU" w:bidi="ru-RU"/>
        </w:rPr>
        <w:t xml:space="preserve">заключение о подтверждении производства промышленной продукции на территории Российской Федерации, выдаваемое Министерством </w:t>
      </w:r>
      <w:r>
        <w:rPr>
          <w:rFonts w:ascii="Cambria" w:eastAsia="Cambria" w:hAnsi="Cambria" w:cs="Cambria"/>
          <w:color w:val="000000"/>
          <w:spacing w:val="0"/>
          <w:w w:val="100"/>
          <w:position w:val="0"/>
          <w:sz w:val="22"/>
          <w:szCs w:val="22"/>
          <w:shd w:val="clear" w:color="auto" w:fill="auto"/>
          <w:lang w:val="ru-RU" w:eastAsia="ru-RU" w:bidi="ru-RU"/>
        </w:rPr>
        <w:t>2023-60941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9"/>
        <w:keepNext w:val="0"/>
        <w:keepLines w:val="0"/>
        <w:widowControl w:val="0"/>
        <w:numPr>
          <w:ilvl w:val="0"/>
          <w:numId w:val="9"/>
        </w:numPr>
        <w:shd w:val="clear" w:color="auto" w:fill="auto"/>
        <w:tabs>
          <w:tab w:pos="100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Комиссией Управления установлено, что на участие в закупке подано 4 заявки, при этом в составе заявок с идентификационными номерами 272407, 276034, 270786 предложены к поставке лекарственные препараты различных производителей, страной происхождения которых является Россия, а также приложены сертификаты по форме СТ-1.</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При этом, Заявителем предложен к поставке лекарственный препарат МНН Норэпинефрин «Норадреналин Агетан», страной происхождения которого является Франция, вместе с тем отсутствуют документы, предусмотренные п.2 постановления №1289, ввиду чего заявка участника закупки приравнивается к заявке, в которой содержится предложение о поставке товара, происходящего из иностранного государства, что в совокупности свидетельствует о правомерности применения положений постановления №1289.</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доводом жалобы, пояснив, что основание отклонения заявки участника выбрано неверно в силу технической ошибки Заказчика. При этом Заказчик указал, что Заявителя следовало отклонить по положению нормы п.4 ч.12 ст.48 Закона о контрактной системе.</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свою очередь, Комиссия Управления отмечает, что при отклонении заявки Заявителя комиссия Заказчика в силу применения ограничений, предусмотренных постановлением №1289, должна была руководствоваться положениями п.4 ч.12 ст.48 Закона о контрактной системе, а не п.1 ч.12 ст.48 Закона о контрактной системе, как следует из протокола подведения итогов, поскольку в данном пункте указано, что он применяется исключительно в случае непредставления информации и документов, предусмотренных извещением об осуществлении закупки.</w:t>
      </w:r>
    </w:p>
    <w:p>
      <w:pPr>
        <w:pStyle w:val="Style9"/>
        <w:keepNext w:val="0"/>
        <w:keepLines w:val="0"/>
        <w:widowControl w:val="0"/>
        <w:shd w:val="clear" w:color="auto" w:fill="auto"/>
        <w:bidi w:val="0"/>
        <w:spacing w:before="0" w:after="0" w:line="300" w:lineRule="auto"/>
        <w:ind w:left="0" w:right="0" w:firstLine="740"/>
        <w:jc w:val="both"/>
        <w:rPr>
          <w:sz w:val="22"/>
          <w:szCs w:val="22"/>
        </w:rPr>
        <w:sectPr>
          <w:headerReference w:type="default" r:id="rId15"/>
          <w:footerReference w:type="default" r:id="rId16"/>
          <w:footnotePr>
            <w:pos w:val="pageBottom"/>
            <w:numFmt w:val="decimal"/>
            <w:numRestart w:val="continuous"/>
          </w:footnotePr>
          <w:pgSz w:w="11900" w:h="16840"/>
          <w:pgMar w:top="1162" w:right="553" w:bottom="653" w:left="1104" w:header="0" w:footer="22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ч. 13 ст. 44 Закона о контрактной системе в случае, если при проведении электронных процедур в течение одного квартала календарного года на </w:t>
      </w:r>
      <w:r>
        <w:rPr>
          <w:rFonts w:ascii="Cambria" w:eastAsia="Cambria" w:hAnsi="Cambria" w:cs="Cambria"/>
          <w:color w:val="000000"/>
          <w:spacing w:val="0"/>
          <w:w w:val="100"/>
          <w:position w:val="0"/>
          <w:sz w:val="22"/>
          <w:szCs w:val="22"/>
          <w:shd w:val="clear" w:color="auto" w:fill="auto"/>
          <w:lang w:val="ru-RU" w:eastAsia="ru-RU" w:bidi="ru-RU"/>
        </w:rPr>
        <w:t>2023-60941</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пп. 1 - 3, 5 - 9 ч. 12 ст. 48 Закона о контрактной системе, в порядке, предусмотренном ч. 14 ст. 44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 15 ст.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Из положений данной нормы следует, что участник закупки, подавший заявку на участие в закупочной процедуре, в случае признании такой заявки несоответствующей на основании п.1 ч.12 ст. 48 Закона о контрактной системе, также несет риск удержания заблокированных на специальном счете участника закупки денежных средств.</w:t>
      </w:r>
    </w:p>
    <w:p>
      <w:pPr>
        <w:pStyle w:val="Style9"/>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доводов жалобы и нарушении в действиях комиссии Заказчика ч.5 ст.49 Закона о контрактной системе, а также о наличии признаков состава административного правонарушения, предусмотренного частью ч.2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20"/>
        <w:jc w:val="both"/>
        <w:sectPr>
          <w:headerReference w:type="default" r:id="rId17"/>
          <w:footerReference w:type="default" r:id="rId18"/>
          <w:footnotePr>
            <w:pos w:val="pageBottom"/>
            <w:numFmt w:val="decimal"/>
            <w:numRestart w:val="continuous"/>
          </w:footnotePr>
          <w:pgSz w:w="11900" w:h="16840"/>
          <w:pgMar w:top="1162" w:right="555"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.Признать жалобу ООО «Аптечный склад» на действия комиссии ГБУЗ «ГКБ им. В.П. Демихова ДЗМ» обоснованной.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2.Признать в действиях комиссии Заказчика нарушение ч.5 ст.49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200" w:line="240" w:lineRule="auto"/>
        <w:ind w:left="0" w:right="0" w:firstLine="74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302" w:left="1106" w:header="0" w:footer="3" w:gutter="0"/>
          <w:cols w:space="720"/>
          <w:noEndnote/>
          <w:rtlGutter w:val="0"/>
          <w:docGrid w:linePitch="360"/>
        </w:sectPr>
      </w:pPr>
      <w:r>
        <mc:AlternateContent>
          <mc:Choice Requires="wps">
            <w:drawing>
              <wp:anchor distT="330200" distB="356235" distL="0" distR="0" simplePos="0" relativeHeight="125829379" behindDoc="0" locked="0" layoutInCell="1" allowOverlap="1">
                <wp:simplePos x="0" y="0"/>
                <wp:positionH relativeFrom="page">
                  <wp:posOffset>735965</wp:posOffset>
                </wp:positionH>
                <wp:positionV relativeFrom="paragraph">
                  <wp:posOffset>330200</wp:posOffset>
                </wp:positionV>
                <wp:extent cx="1850390" cy="250190"/>
                <wp:wrapTopAndBottom/>
                <wp:docPr id="18" name="Shape 18"/>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4" type="#_x0000_t202" style="position:absolute;margin-left:57.950000000000003pt;margin-top:26.pt;width:145.70000000000002pt;height:19.699999999999999pt;z-index:-125829374;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9430" simplePos="0" relativeHeight="125829381" behindDoc="0" locked="0" layoutInCell="1" allowOverlap="1">
            <wp:simplePos x="0" y="0"/>
            <wp:positionH relativeFrom="page">
              <wp:posOffset>2927350</wp:posOffset>
            </wp:positionH>
            <wp:positionV relativeFrom="paragraph">
              <wp:posOffset>403225</wp:posOffset>
            </wp:positionV>
            <wp:extent cx="353695" cy="536575"/>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3387725</wp:posOffset>
                </wp:positionH>
                <wp:positionV relativeFrom="paragraph">
                  <wp:posOffset>805815</wp:posOffset>
                </wp:positionV>
                <wp:extent cx="1276985" cy="100330"/>
                <wp:wrapNone/>
                <wp:docPr id="22" name="Shape 22"/>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7E7E7"/>
                                <w:spacing w:val="0"/>
                                <w:w w:val="100"/>
                                <w:position w:val="0"/>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48" type="#_x0000_t202" style="position:absolute;margin-left:266.75pt;margin-top:63.450000000000003pt;width:100.5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 xml:space="preserve">СВЕДЕНИЯ </w:t>
                      </w:r>
                      <w:r>
                        <w:rPr>
                          <w:rFonts w:ascii="Georgia" w:eastAsia="Georgia" w:hAnsi="Georgia" w:cs="Georgia"/>
                          <w:color w:val="E7E7E7"/>
                          <w:spacing w:val="0"/>
                          <w:w w:val="100"/>
                          <w:position w:val="0"/>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3342005</wp:posOffset>
                </wp:positionH>
                <wp:positionV relativeFrom="paragraph">
                  <wp:posOffset>491490</wp:posOffset>
                </wp:positionV>
                <wp:extent cx="1725295" cy="255905"/>
                <wp:wrapNone/>
                <wp:docPr id="24" name="Shape 24"/>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63.14999999999998pt;margin-top:38.700000000000003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2" behindDoc="0" locked="0" layoutInCell="1" allowOverlap="1">
                <wp:simplePos x="0" y="0"/>
                <wp:positionH relativeFrom="page">
                  <wp:posOffset>6085205</wp:posOffset>
                </wp:positionH>
                <wp:positionV relativeFrom="paragraph">
                  <wp:posOffset>330200</wp:posOffset>
                </wp:positionV>
                <wp:extent cx="1136650" cy="250190"/>
                <wp:wrapTopAndBottom/>
                <wp:docPr id="26" name="Shape 26"/>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52" type="#_x0000_t202" style="position:absolute;margin-left:479.15000000000003pt;margin-top:26.pt;width:89.5pt;height:19.699999999999999pt;z-index:-125829371;mso-wrap-distance-left:0;mso-wrap-distance-top:26.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Грешнева Дарья Сергеевна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067961</w:t>
      </w:r>
      <w:r>
        <w:rPr>
          <w:color w:val="202020"/>
          <w:spacing w:val="0"/>
          <w:w w:val="100"/>
          <w:position w:val="0"/>
          <w:shd w:val="clear" w:color="auto" w:fill="auto"/>
          <w:lang w:val="ru-RU" w:eastAsia="ru-RU" w:bidi="ru-RU"/>
        </w:rPr>
        <w:t>ЕЕ87Е758АЕ5АСО096СЕ0АЕ91</w:t>
      </w:r>
      <w:r>
        <w:rPr>
          <w:spacing w:val="0"/>
          <w:w w:val="100"/>
          <w:position w:val="0"/>
          <w:shd w:val="clear" w:color="auto" w:fill="auto"/>
          <w:lang w:val="ru-RU" w:eastAsia="ru-RU" w:bidi="ru-RU"/>
        </w:rPr>
        <w:t>25</w:t>
      </w:r>
    </w:p>
    <w:p>
      <w:pPr>
        <w:pStyle w:val="Style21"/>
        <w:keepNext w:val="0"/>
        <w:keepLines w:val="0"/>
        <w:widowControl w:val="0"/>
        <w:shd w:val="clear" w:color="auto" w:fill="auto"/>
        <w:bidi w:val="0"/>
        <w:spacing w:before="0" w:after="58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16.03.2023 </w:t>
      </w:r>
      <w:r>
        <w:rPr>
          <w:color w:val="000000"/>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08.06.2024</w:t>
      </w:r>
    </w:p>
    <w:p>
      <w:pPr>
        <w:pStyle w:val="Style9"/>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370" w:line="240" w:lineRule="auto"/>
        <w:ind w:left="0" w:right="0" w:firstLine="0"/>
        <w:jc w:val="right"/>
      </w:pPr>
      <w:r>
        <w:drawing>
          <wp:anchor distT="0" distB="0" distL="114300" distR="1921510" simplePos="0" relativeHeight="125829384" behindDoc="0" locked="0" layoutInCell="1" allowOverlap="1">
            <wp:simplePos x="0" y="0"/>
            <wp:positionH relativeFrom="page">
              <wp:posOffset>2948940</wp:posOffset>
            </wp:positionH>
            <wp:positionV relativeFrom="paragraph">
              <wp:posOffset>76200</wp:posOffset>
            </wp:positionV>
            <wp:extent cx="311150" cy="35941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1"/>
                    <a:stretch/>
                  </pic:blipFill>
                  <pic:spPr>
                    <a:xfrm>
                      <a:ext cx="311150" cy="3594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3342005</wp:posOffset>
                </wp:positionH>
                <wp:positionV relativeFrom="paragraph">
                  <wp:posOffset>146050</wp:posOffset>
                </wp:positionV>
                <wp:extent cx="1725295" cy="255905"/>
                <wp:wrapNone/>
                <wp:docPr id="30" name="Shape 30"/>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63.14999999999998pt;margin-top:11.5pt;width:135.84999999999999pt;height:20.15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М.О.Мацнева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B6B6B"/>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w:t>
      </w:r>
      <w:r>
        <w:rPr>
          <w:color w:val="202020"/>
          <w:spacing w:val="0"/>
          <w:w w:val="100"/>
          <w:position w:val="0"/>
          <w:shd w:val="clear" w:color="auto" w:fill="auto"/>
          <w:lang w:val="ru-RU" w:eastAsia="ru-RU" w:bidi="ru-RU"/>
        </w:rPr>
        <w:t>ЕВ71Е0631</w:t>
      </w:r>
      <w:r>
        <w:rPr>
          <w:spacing w:val="0"/>
          <w:w w:val="100"/>
          <w:position w:val="0"/>
          <w:shd w:val="clear" w:color="auto" w:fill="auto"/>
          <w:lang w:val="ru-RU" w:eastAsia="ru-RU" w:bidi="ru-RU"/>
        </w:rPr>
        <w:t>А2ЕЕ19ЕВВ8Е80В4Е</w:t>
      </w:r>
    </w:p>
    <w:p>
      <w:pPr>
        <w:pStyle w:val="Style21"/>
        <w:keepNext w:val="0"/>
        <w:keepLines w:val="0"/>
        <w:widowControl w:val="0"/>
        <w:shd w:val="clear" w:color="auto" w:fill="auto"/>
        <w:bidi w:val="0"/>
        <w:spacing w:before="0" w:after="840" w:line="240" w:lineRule="auto"/>
        <w:ind w:right="0" w:firstLine="0"/>
        <w:jc w:val="left"/>
      </w:pPr>
      <w:r>
        <mc:AlternateContent>
          <mc:Choice Requires="wps">
            <w:drawing>
              <wp:anchor distT="0" distB="0" distL="114300" distR="114300" simplePos="0" relativeHeight="125829385" behindDoc="0" locked="0" layoutInCell="1" allowOverlap="1">
                <wp:simplePos x="0" y="0"/>
                <wp:positionH relativeFrom="page">
                  <wp:posOffset>6021070</wp:posOffset>
                </wp:positionH>
                <wp:positionV relativeFrom="paragraph">
                  <wp:posOffset>457200</wp:posOffset>
                </wp:positionV>
                <wp:extent cx="1197610" cy="252730"/>
                <wp:wrapSquare wrapText="left"/>
                <wp:docPr id="32" name="Shape 32"/>
                <a:graphic xmlns:a="http://schemas.openxmlformats.org/drawingml/2006/main">
                  <a:graphicData uri="http://schemas.microsoft.com/office/word/2010/wordprocessingShape">
                    <wps:wsp>
                      <wps:cNvSpPr txBox="1"/>
                      <wps:spPr>
                        <a:xfrm>
                          <a:ext cx="119761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М.В.Сорбучева</w:t>
                            </w:r>
                          </w:p>
                        </w:txbxContent>
                      </wps:txbx>
                      <wps:bodyPr wrap="none" lIns="0" tIns="0" rIns="0" bIns="0">
                        <a:noAutoFit/>
                      </wps:bodyPr>
                    </wps:wsp>
                  </a:graphicData>
                </a:graphic>
              </wp:anchor>
            </w:drawing>
          </mc:Choice>
          <mc:Fallback>
            <w:pict>
              <v:shape id="_x0000_s1058" type="#_x0000_t202" style="position:absolute;margin-left:474.10000000000002pt;margin-top:36.pt;width:94.299999999999997pt;height:19.900000000000002pt;z-index:-125829368;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М.В.Сорбучева</w:t>
                      </w:r>
                    </w:p>
                  </w:txbxContent>
                </v:textbox>
                <w10:wrap type="square" side="left" anchorx="page"/>
              </v:shape>
            </w:pict>
          </mc:Fallback>
        </mc:AlternateContent>
      </w: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202020"/>
          <w:spacing w:val="0"/>
          <w:w w:val="100"/>
          <w:position w:val="0"/>
          <w:shd w:val="clear" w:color="auto" w:fill="auto"/>
          <w:lang w:val="ru-RU" w:eastAsia="ru-RU" w:bidi="ru-RU"/>
        </w:rPr>
        <w:t xml:space="preserve">28.03.2023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p>
      <w:pPr>
        <w:pStyle w:val="Style28"/>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808080"/>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0В18Е97СЕ55В5023ВССЭ395Е903С1 035</w:t>
      </w:r>
    </w:p>
    <w:p>
      <w:pPr>
        <w:pStyle w:val="Style21"/>
        <w:keepNext w:val="0"/>
        <w:keepLines w:val="0"/>
        <w:widowControl w:val="0"/>
        <w:shd w:val="clear" w:color="auto" w:fill="auto"/>
        <w:bidi w:val="0"/>
        <w:spacing w:before="0" w:after="246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808080"/>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26.10.2024</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13105" cy="100330"/>
              <wp:wrapNone/>
              <wp:docPr id="4" name="Shape 4"/>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2023-60941</w:t>
                          </w:r>
                        </w:p>
                      </w:txbxContent>
                    </wps:txbx>
                    <wps:bodyPr wrap="none" lIns="0" tIns="0" rIns="0" bIns="0">
                      <a:spAutoFit/>
                    </wps:bodyPr>
                  </wps:wsp>
                </a:graphicData>
              </a:graphic>
            </wp:anchor>
          </w:drawing>
        </mc:Choice>
        <mc:Fallback>
          <w:pict>
            <v:shape id="_x0000_s1030" type="#_x0000_t202" style="position:absolute;margin-left:57.pt;margin-top:804.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2023-60941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19455" cy="100330"/>
              <wp:wrapNone/>
              <wp:docPr id="10" name="Shape 10"/>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2023-60941</w:t>
                          </w:r>
                        </w:p>
                      </w:txbxContent>
                    </wps:txbx>
                    <wps:bodyPr wrap="none" lIns="0" tIns="0" rIns="0" bIns="0">
                      <a:spAutoFit/>
                    </wps:bodyPr>
                  </wps:wsp>
                </a:graphicData>
              </a:graphic>
            </wp:anchor>
          </w:drawing>
        </mc:Choice>
        <mc:Fallback>
          <w:pict>
            <v:shape id="_x0000_s1036" type="#_x0000_t202" style="position:absolute;margin-left:57.200000000000003pt;margin-top:794.70000000000005pt;width:56.6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2023-60941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19455" cy="100330"/>
              <wp:wrapNone/>
              <wp:docPr id="16" name="Shape 16"/>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2023-60941</w:t>
                          </w:r>
                        </w:p>
                      </w:txbxContent>
                    </wps:txbx>
                    <wps:bodyPr wrap="none" lIns="0" tIns="0" rIns="0" bIns="0">
                      <a:spAutoFit/>
                    </wps:bodyPr>
                  </wps:wsp>
                </a:graphicData>
              </a:graphic>
            </wp:anchor>
          </w:drawing>
        </mc:Choice>
        <mc:Fallback>
          <w:pict>
            <v:shape id="_x0000_s1042" type="#_x0000_t202" style="position:absolute;margin-left:57.200000000000003pt;margin-top:794.70000000000005pt;width:56.6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2023-60941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3928110</wp:posOffset>
              </wp:positionH>
              <wp:positionV relativeFrom="page">
                <wp:posOffset>210185</wp:posOffset>
              </wp:positionV>
              <wp:extent cx="67310" cy="103505"/>
              <wp:wrapNone/>
              <wp:docPr id="2" name="Shape 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30000000000001pt;margin-top:16.550000000000001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8" name="Shape 8"/>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3928110</wp:posOffset>
              </wp:positionH>
              <wp:positionV relativeFrom="page">
                <wp:posOffset>210185</wp:posOffset>
              </wp:positionV>
              <wp:extent cx="67310" cy="103505"/>
              <wp:wrapNone/>
              <wp:docPr id="12" name="Shape 12"/>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30000000000001pt;margin-top:16.550000000000001pt;width:5.29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3930015</wp:posOffset>
              </wp:positionH>
              <wp:positionV relativeFrom="page">
                <wp:posOffset>476250</wp:posOffset>
              </wp:positionV>
              <wp:extent cx="57785" cy="103505"/>
              <wp:wrapNone/>
              <wp:docPr id="14" name="Shape 14"/>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9.44999999999999pt;margin-top:37.5pt;width:4.54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Times New Roman" w:eastAsia="Times New Roman" w:hAnsi="Times New Roman" w:cs="Times New Roman"/>
      <w:b/>
      <w:bCs/>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Основной текст (5)_"/>
    <w:basedOn w:val="DefaultParagraphFont"/>
    <w:link w:val="Style26"/>
    <w:rPr>
      <w:rFonts w:ascii="Georgia" w:eastAsia="Georgia" w:hAnsi="Georgia" w:cs="Georgia"/>
      <w:b w:val="0"/>
      <w:bCs w:val="0"/>
      <w:i w:val="0"/>
      <w:iCs w:val="0"/>
      <w:smallCaps w:val="0"/>
      <w:strike w:val="0"/>
      <w:color w:val="E7E7E7"/>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32">
    <w:name w:val="Основной текст (6)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1">
    <w:name w:val="Основной текст (2)"/>
    <w:basedOn w:val="Normal"/>
    <w:link w:val="CharStyle22"/>
    <w:pPr>
      <w:widowControl w:val="0"/>
      <w:shd w:val="clear" w:color="auto" w:fill="auto"/>
      <w:ind w:left="3520"/>
    </w:pPr>
    <w:rPr>
      <w:rFonts w:ascii="Arial" w:eastAsia="Arial" w:hAnsi="Arial" w:cs="Arial"/>
      <w:b w:val="0"/>
      <w:bCs w:val="0"/>
      <w:i w:val="0"/>
      <w:iCs w:val="0"/>
      <w:smallCaps w:val="0"/>
      <w:strike w:val="0"/>
      <w:color w:val="434343"/>
      <w:sz w:val="12"/>
      <w:szCs w:val="12"/>
      <w:u w:val="none"/>
    </w:rPr>
  </w:style>
  <w:style w:type="paragraph" w:customStyle="1" w:styleId="Style26">
    <w:name w:val="Основной текст (5)"/>
    <w:basedOn w:val="Normal"/>
    <w:link w:val="CharStyle27"/>
    <w:pPr>
      <w:widowControl w:val="0"/>
      <w:shd w:val="clear" w:color="auto" w:fill="auto"/>
      <w:spacing w:after="100"/>
      <w:ind w:left="4240"/>
    </w:pPr>
    <w:rPr>
      <w:rFonts w:ascii="Georgia" w:eastAsia="Georgia" w:hAnsi="Georgia" w:cs="Georgia"/>
      <w:b w:val="0"/>
      <w:bCs w:val="0"/>
      <w:i w:val="0"/>
      <w:iCs w:val="0"/>
      <w:smallCaps w:val="0"/>
      <w:strike w:val="0"/>
      <w:color w:val="E7E7E7"/>
      <w:sz w:val="12"/>
      <w:szCs w:val="12"/>
      <w:u w:val="none"/>
    </w:rPr>
  </w:style>
  <w:style w:type="paragraph" w:customStyle="1" w:styleId="Style28">
    <w:name w:val="Основной текст (4)"/>
    <w:basedOn w:val="Normal"/>
    <w:link w:val="CharStyle29"/>
    <w:pPr>
      <w:widowControl w:val="0"/>
      <w:shd w:val="clear" w:color="auto" w:fill="auto"/>
      <w:spacing w:after="100" w:line="218" w:lineRule="auto"/>
      <w:ind w:left="4160"/>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31">
    <w:name w:val="Основной текст (6)"/>
    <w:basedOn w:val="Normal"/>
    <w:link w:val="CharStyle32"/>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s>
</file>