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ВАО»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дигуао@тай.гн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«Жилищник района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Преображенское»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хакиркургео@тай.ги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«Жилищник района Гольяново»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xакирк^-до1уапоVО@та^1.^и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Байрамуков А.М.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агге1Ьаугас@дтай.сот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8" w:right="1050" w:bottom="708" w:left="1140" w:header="0" w:footer="3" w:gutter="0"/>
          <w:pgNumType w:start="1"/>
          <w:cols w:num="2" w:space="821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6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077/06/106-17289/2023 о нарушении</w:t>
        <w:br/>
        <w:t>законодательства о контрактной системе</w:t>
        <w:br/>
        <w:t>12.12.2023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838" w:val="left"/>
          <w:tab w:pos="9192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 Председательствующего - заместителя начальника отдела обжалования государственных закупок Д.С. Грешневой, Членов Комиссии: Специалиста-эксперта отдела</w:t>
        <w:tab/>
        <w:t>обжалования государственных</w:t>
        <w:tab/>
        <w:t>закупок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3653" w:val="left"/>
          <w:tab w:pos="681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М.В.Сорбучевой, Специалиста-эксперта</w:t>
        <w:tab/>
        <w:t>отдела обжалования</w:t>
        <w:tab/>
        <w:t>государственных 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М.О.Мацневой, рассмотрение жалобы проводилось дистанционно (посредством видеоконференцсвязи), при участии представителей: ГКУ «Дирекция ЖКХиБ ВАО»: И.В. Ломтева ( по доверенности №б/н от 09.01.2023), ГБУ «Жилищник района Преображенское»: Ж.Е. Гапоновой (по доверенности №б/н от 11.12.2023), ГБУ «Жилищник района Гольяново»: А.В. Дорофеевой (по доверенности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№б/н от 08.12.2023),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Байрамуков А.М., о времени и порядке заседания Комиссии Управления уведомленных надлежащим образом Московским УФАС России посредством Единой информационной системы в сфере закупок,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жалобы ИП Байрамуков А.М. (далее — Заявитель) на действия ГБУ «Жилищник района Преображенское», ГБУ «Жилищник района Гольяново» (далее — Заказчик) при проведении электронных аукционов на право заключения государственного контракта на оказание услуг по уборке территории района Преображенское и Гольяново в период выпадения обильных атмосферных осадков (Закупки № 0373200006223001373, 0373200006223001372)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поступили жалобы Заявителя на действия Заказчика при проведении вышеуказанных электронных аукционов.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 Заявитель указывает, что Заказчиком неправомерно не установлены дополнительные требования к участникам закупочной процедуры в соответствии с п.36 приложения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 Постановления Правительства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310" w:lineRule="auto"/>
        <w:ind w:left="0" w:right="0" w:firstLine="70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42" w:bottom="612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ч.4 ст.31 Закона о контрактной системе в случае установления Правительством Российской Федерации в соответствии с ч.2 ст.31 Закона о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2023-60868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пп.«а» п.1 Постановления №2571 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п.3 Постановления №2571 положения Постановления №2571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применяется с учетом положений п.3 Постановления №2571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позиции 14, 15 и 36 Приложения применяются в случае, если при осуществлении закупки начальная (максимальная) цена контракта превышает 1 млн.рублей.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п.36 Приложения при проведении закупочной процедуры объектом которой являются услуги по уборке зданий, сооружений, прилегающих к ним территорий к участникам закупочной процедуры предъявляются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п.9 ч.1 ст.42 Закона о контрактной системе извещение об осуществлении закупки должно содержать, в том числе, информацию о начальной (максимальной) цене контракта (цена отдельных этапов исполнения контракта, если проектом контракта предусмотрены такие этапы).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согласно извещениям о проведении электронных аукционов, объектом закупочной процедуры является оказание услуг по уборке территории района Преображенское и Гольяново в период выпадения обильных атмосферных осадков, при этом начальная (максимальная) цена контрактов составляет 2 999 000,00, 2 950 000,00 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ч.5 ст.31 Закона о контрактной системе информация об установленных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требованиях в соответствии с частями 1, 1.1, 2 и 2.1 ст.31 Закона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извещение об осуществлении закупки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в описании объекта закупки указаны следующие закупаемые услуги по уборке помещения, в частности: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закупке № 0373200006223001373 закупаются услуги по уборке с позицией КТРУ 81.21.10.000-00000005 «Услуги по уборке»: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«сгребание снега в кучи или валы; уборка территорий от уплотненного снега скребком, сгребание снега в валы или кучи; скалывание наледи толщиной слоя до 2 см, сгребание скола в валы или кучи; скалывание корки наледи и льда толщиной слоя свыше 2 см; перекидывание снега и скола на газоны и свободные участки территорий с последующим равномерным разбрасыванием».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Аналогично по закупке № 0373200006223001372.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Комиссией Управления установлено, что согласно п.5.6 Технического задания оказываются в соответствии с ГОСТ Р 51870-2014 «Национальный стандарт Российской Федерации. Услуги профессиональной уборки - клининговые услуги. Общие технические условия» (далее ГОСТ Р 51870-2014).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п.3.2 ГОСТ Р 51870-2014 услуги профессиональной уборки - клининговые услуги (далее — услуги уборки) — это деятельность по поддержанию, сохранению и восстановлению эстетических и эксплуатационных свойств различных поверхностей объектов недвижимости, территорий, транспорта, удалению загрязнений и поддержанию санитарного состояния объектов в соответствии с потребностями потребителей услуг.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69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П.4.1 ГОСТ Р 51870-2014 устанавливает, что услуги уборки оказываются в различных сферах деятельности, в том числе в общественной, то есть услуги уборки оказываются в административных зданиях и зданиях бизнес-центров, инженерных сооружениях общего назначения, вокзалах, терминалах аэропортов, кемпингах, торговых объектах, предприятиях общественного питания, объектах культуры 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2023-60868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образовательных организаций, спортивных сооружениях, культовых объектах, местах общего пользования многоквартирных домов, дворовых территориях.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Вследствие чего, данный комплекс специализированных услуг по по комплексному клининговому обслуживанию помещений в фондохранилище и других площадках Политехнического музея относятся к услугам профессиональной уборки - клининговых услуг на объектах недвижимости, территориях, транспортных средствах.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Комиссия Управления приходит к выводу, что объектом конкурентной процедуры являются услуги по уборке зданий, сооружений, прилегающих к ним территорий, предусмотренные п.36 Приложения.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не согласился с вышеуказанным доводом жалобы, при этом добавил, что в соответствии с документацией извещения об осуществлении закупки очистке от снега подлежат следующие элементы: малые архитектурные формы, бордюр, дорожно-тропиночная сеть с покрытием из плитки (брусчатка), контейнерная (бункерная) площадка, дорожно-тропиночная сеть с асфальтобетонным покрытием.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Данные элементы, по мнению Заказчика, не относятся к уборке зданий, сооружений, прилегающих к ним территорий. Данные элементы отнсятся к объектам дорожного хозяйства, дворовым территориям.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представитель Заказчика добавил, что раздел VI «Дополнительные требования к участникам закупки в сфере здравоохранения, образования, науки, обеспечения санитарно-эпидемиологического благополучия населения, охраны, информации и документы, подтверждающие соответствие участников закупок» Постановления №2571, в котором содержится оспариваемая позиция, относится в сфере здравоохранения, образования, науки, обеспечения санитарно-эпидемиологического благополучия населения, охраны. В свою очередь, организация Заказчика относится к учреждениям коммунального хозяйства и, как следствие, на него не распространяется требование, указанное в п.36 Приложения.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чего положения п.36 Приложения к Постановлению №2571 не применялись.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не может согласиться с позицией Заказчика, поскольку в соответствии с п.37 ст.1 Градостроительного Кодекса Российской Федерации под прилегающий территорией понимается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Постановления Правительства Российской Федерации от 23.10.1993 №1090 ««О Правилах дорожного движения» (вместе с «Основными положениями по допуску транспортных средств к эксплуатации и обязанности должностных лиц по обеспечению безопасности дорожного движения»)» прилегающая территория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подразумевает под собой территорию, непосредственно прилегающую к дороге и не предназначенную для сквозного движения транспортных средств (дворы, жилые массивы, автостоянки, АЗС, предприятия и т.п.).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описанию объекта закупки Технического задания аукционов конкретизирована закупаемая услуга как «Санитарное содержание и уборка территорий, прилегающих к нежилым зданиям», ввиду чего Комиссия делает вывод о том, что закупаются услуги по уборке прилегающих территорий.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на заседании Комиссии Управления Заказчик не доказал обратного.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считает необходимым отметить, что согласно п.6.1 письма Минфина России 24-01-09/10138 от 14.02.2022 «О направлении информации о применении Федерального закона от 5 апреля 2013 г. № 44-ФЗ в редакции Федерального закона от 2 июля 2021 г. К 360-ФЗ», вид или сфера деятельности Заказчика не образует условия применения дополнительных требований к участникам закупки. Наименования разделов Приложения сформированы в отношении сферы закупки (сферы закупаемых товаров, работ, услуг) и не предусматривают соотнесения с видами или сферами деятельности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дополнительные требования к участникам необходимо устанавливать при любых конкурентных процедурах, если объект закупки включен в Приложение и в ряде случаев превышает определенную начальную (максимальную) цену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всего вышеизложенного, Комиссия Управления приходит к выводу, что Заказчику надлежало установить дополнительные требования к участникам закупки в соответствии с п.36 Приложения к Постановлению № 2571.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нарушении в действиях Заказчика ч.4 ст.31, п.12 ч.1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</w:t>
        <w:tab/>
        <w:t>ст.7.30 Кодекса Российской Федерации об административных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114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2"/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жалобы ИП Байрамуков А.М. на действия ГБУ «Жилищник района Преображенское», ГБУ «Жилищник района Гольяново» обоснованными.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ч.6 ст.31, п.12 ч.1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28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30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7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7.950000000000003pt;margin-top:26.pt;width:145.70000000000002pt;height:19.699999999999999pt;z-index:-125829374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1" behindDoc="0" locked="0" layoutInCell="1" allowOverlap="1">
            <wp:simplePos x="0" y="0"/>
            <wp:positionH relativeFrom="page">
              <wp:posOffset>3043555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3500755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5.65000000000003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3458210</wp:posOffset>
                </wp:positionH>
                <wp:positionV relativeFrom="paragraph">
                  <wp:posOffset>491490</wp:posOffset>
                </wp:positionV>
                <wp:extent cx="1722120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2.30000000000001pt;margin-top:38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2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330200</wp:posOffset>
                </wp:positionV>
                <wp:extent cx="1136650" cy="25019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479.15000000000003pt;margin-top:26.pt;width:89.5pt;height:19.699999999999999pt;z-index:-125829371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067961ЕЕ87Р758АЕ5АСО096СЕ0АЕ9125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по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18970" simplePos="0" relativeHeight="125829384" behindDoc="0" locked="0" layoutInCell="1" allowOverlap="1">
            <wp:simplePos x="0" y="0"/>
            <wp:positionH relativeFrom="page">
              <wp:posOffset>3064510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3457575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2.25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0018Е970Е55В5023ВССВ395Р903С1035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03.08.2023 по 26.10.2024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18970" simplePos="0" relativeHeight="125829385" behindDoc="0" locked="0" layoutInCell="1" allowOverlap="1">
            <wp:simplePos x="0" y="0"/>
            <wp:positionH relativeFrom="page">
              <wp:posOffset>3064510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3457575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2.25pt;margin-top:11.5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008926921 ЕВ71Е0631А2ЕР19РВВ8Е80В4Е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9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28.03.2023 по 20.06.2024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2023-60868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4.7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2023-60868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2023-60868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pt;margin-top:804.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2023-60868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2023-60868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200000000000003pt;margin-top:794.70000000000005pt;width:56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2023-60868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2023-60868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57.200000000000003pt;margin-top:794.70000000000005pt;width:56.89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2023-60868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9999999999999pt;margin-top:37.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8.94999999999999pt;margin-top:16.550000000000001pt;width:5.29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19999999999999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309.19999999999999pt;margin-top:37.5pt;width:5.0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character" w:customStyle="1" w:styleId="CharStyle26">
    <w:name w:val="Основной текст (4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7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paragraph" w:customStyle="1" w:styleId="Style25">
    <w:name w:val="Основной текст (4)"/>
    <w:basedOn w:val="Normal"/>
    <w:link w:val="CharStyle26"/>
    <w:pPr>
      <w:widowControl w:val="0"/>
      <w:shd w:val="clear" w:color="auto" w:fill="auto"/>
      <w:spacing w:after="80"/>
      <w:ind w:left="44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