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53809/23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53809/23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 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агге1Ъаугас@дтай.сот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32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с1др32@1по8дог/с1га\\П1;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е1^етоVа^V4@x^^аV.то8.^и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№077/06/106-17800/2023 о нарушении</w:t>
        <w:br/>
        <w:t>законодательства о контрактной системе</w:t>
        <w:br/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 - 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 ГБУЗ «ДГП № 32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ИП Байрамуков А. М., уведомленных о порядке и времени проведения заседания надлежащим образом Московским УФАС по средствам функционала Единой информационной системы в сфере закупок,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Байрамуков А. М. (далее — Заявитель) на действия ГБУЗ «ДГП № 32 ДЗМ» (далее — Заказчик) при проведении электронного аукциона на право заключения государственного контракта на оказание услуг по содержанию прилегающей территории ГБУЗ «ДГП № 32 ДЗМ» в 2024 г. (Закупка № 0373200575523000085)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60" w:line="233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запрашиваемые Московским УФАС России,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Заявителем указано, что Заказчиком неправомерно не установлены дополнительные требования к участникам закупки, предусмотренные Постановлением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96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Федерации, в данном конкретном случае в соответствии с постановление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ч.4 ст.31 Закона о контрактной системе в случае установления Правительством Российской Федерации в соответствии с ч.2 ст.31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электронного аукциона от 04.12.2023 №0373200575523000085 объектом закупки является оказание услуг по содержанию прилегающей территории ГБУЗ «ДГП № 32 ДЗМ» в 2024 г с начальной (максимальной) ценой контракта 3 427 609,12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к постановлению № 2571 дополнительные требования к участникам закупки установлены в отношении отдельных видов товаров, работ, услуг и сгруппированы в разделы в разрезе сферы закупаемых товаров, работ,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36 Приложения к постановлению № 2571 при проведении конкурентных процедур по оказанию услуг по уборке зданий, сооружений, прилегающих к ним территорий, к участникам закупки устанавливаются дополнительные требования, подтверждающиеся наличием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к постановлению применяется с учетом положений п.3 постановления № 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36 приложения применяется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к Постановлению №2571 и в ряде случаев превышает определенную НМЦК.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указанным доводом жалобы и пояснил, что вышеуказанное нарушение явилось следствием технической ошибки, допущенной при формировании извещения о проведении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ч.4 ст.31, п.12 ч.1 ст.42 Закона о контрактной системе, что содержит признаки состава административного правонарушения,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представитель Заказчика отметил, что 07.12.2023 в извещение о проведении электронного аукциона внесены изменения в соответствии с выявленными нарушениями.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Байрамуков А. М. на действия ГБУЗ «ДГП № 32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ч.4 ст.31, п.12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устранены Заказчиком самостоятельно.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13" w:right="534" w:bottom="957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1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600000000000001pt;margin-top:26.pt;width:145.70000000000002pt;height:19.699999999999999pt;z-index:-125829372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0" distL="0" distR="1789430" simplePos="0" relativeHeight="125829383" behindDoc="0" locked="0" layoutInCell="1" allowOverlap="1">
            <wp:simplePos x="0" y="0"/>
            <wp:positionH relativeFrom="page">
              <wp:posOffset>3090545</wp:posOffset>
            </wp:positionH>
            <wp:positionV relativeFrom="paragraph">
              <wp:posOffset>394335</wp:posOffset>
            </wp:positionV>
            <wp:extent cx="365760" cy="54864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80000000000001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492125</wp:posOffset>
                </wp:positionV>
                <wp:extent cx="1725295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19999999999999pt;margin-top:38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4" behindDoc="0" locked="0" layoutInCell="1" allowOverlap="1">
                <wp:simplePos x="0" y="0"/>
                <wp:positionH relativeFrom="page">
                  <wp:posOffset>6035040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19999999999999pt;margin-top:26.pt;width:93.100000000000009pt;height:19.699999999999999pt;z-index:-125829369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00Е9СЕАА6ОО6САЭ20С424А9502ЕС296Е8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3069590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80000000000001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19999999999999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3127375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19999999999999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C4C4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6281 Е5АЕВ0О2ЭВЕ2АООСЕ65248493Е7С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8" w:right="527" w:bottom="114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730250</wp:posOffset>
              </wp:positionH>
              <wp:positionV relativeFrom="page">
                <wp:posOffset>10121265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2023-61217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5pt;margin-top:796.95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2023-61217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2023-61217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99999999999999pt;margin-top:797.7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2023-61217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504825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39.7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character" w:customStyle="1" w:styleId="CharStyle31">
    <w:name w:val="Основной текст (6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130" w:line="235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30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