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1о77@Га8.еоу.т</w:t>
      </w:r>
    </w:p>
    <w:p>
      <w:pPr>
        <w:pStyle w:val="Style9"/>
        <w:keepNext/>
        <w:keepLines/>
        <w:widowControl w:val="0"/>
        <w:shd w:val="clear" w:color="auto" w:fill="auto"/>
        <w:tabs>
          <w:tab w:pos="1810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5.12.2023</w:t>
        <w:tab/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53799/23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«РТС-тендер» ко@г18-1епдег.ги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ФБ МСЭ Минтруда России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д1адо1е\@Плте.П1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Попрыго А.С.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1386" w:bottom="621" w:left="1298" w:header="0" w:footer="3" w:gutter="0"/>
          <w:pgNumType w:start="1"/>
          <w:cols w:num="2" w:space="998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а.рорпдо@дтай.сот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6" w:after="11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77" w:right="0" w:bottom="543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702310</wp:posOffset>
                </wp:positionH>
                <wp:positionV relativeFrom="paragraph">
                  <wp:posOffset>655320</wp:posOffset>
                </wp:positionV>
                <wp:extent cx="6498590" cy="2511425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98590" cy="2511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8942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12.12.2023</w:t>
                              <w:tab/>
                              <w:t>г. Москва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72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72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Председательствующего - главного государственного инспектора обжалования государственных закупок С.И. Казарина,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72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Членов Комиссии: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72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Специалиста-эксперта отдела обжалования государственных А.И. Рахматуллаева,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72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Главного специалиста-эксперта отдела обжалования государственных А.А. Кутейникова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72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рассмотрение жалобы проводилось дистанционно (посредством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5.300000000000004pt;margin-top:51.600000000000001pt;width:511.69999999999999pt;height:197.75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8942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12.12.2023</w:t>
                        <w:tab/>
                        <w:t>г. Москва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72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72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Председательствующего - главного государственного инспектора обжалования государственных закупок С.И. Казарина,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72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Членов Комиссии: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72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Специалиста-эксперта отдела обжалования государственных А.И. Рахматуллаева,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72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Главного специалиста-эксперта отдела обжалования государственных А.А. Кутейникова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72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рассмотрение жалобы проводилось дистанционно (посредством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029970" distL="202565" distR="114300" simplePos="0" relativeHeight="125829380" behindDoc="0" locked="0" layoutInCell="1" allowOverlap="1">
                <wp:simplePos x="0" y="0"/>
                <wp:positionH relativeFrom="page">
                  <wp:posOffset>6685280</wp:posOffset>
                </wp:positionH>
                <wp:positionV relativeFrom="paragraph">
                  <wp:posOffset>1435735</wp:posOffset>
                </wp:positionV>
                <wp:extent cx="530225" cy="25019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022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отдела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26.39999999999998pt;margin-top:113.05pt;width:41.75pt;height:19.699999999999999pt;z-index:-125829373;mso-wrap-distance-left:15.950000000000001pt;mso-wrap-distance-right:9.pt;mso-wrap-distance-bottom:81.100000000000009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отдела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15950" distB="414020" distL="114300" distR="114300" simplePos="0" relativeHeight="125829382" behindDoc="0" locked="0" layoutInCell="1" allowOverlap="1">
                <wp:simplePos x="0" y="0"/>
                <wp:positionH relativeFrom="page">
                  <wp:posOffset>6597015</wp:posOffset>
                </wp:positionH>
                <wp:positionV relativeFrom="paragraph">
                  <wp:posOffset>2051685</wp:posOffset>
                </wp:positionV>
                <wp:extent cx="618490" cy="250190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184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закупок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519.45000000000005pt;margin-top:161.55000000000001pt;width:48.700000000000003pt;height:19.699999999999999pt;z-index:-125829371;mso-wrap-distance-left:9.pt;mso-wrap-distance-top:48.5pt;mso-wrap-distance-right:9.pt;mso-wrap-distance-bottom:32.6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закупок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27430" distB="0" distL="114300" distR="116840" simplePos="0" relativeHeight="125829384" behindDoc="0" locked="0" layoutInCell="1" allowOverlap="1">
                <wp:simplePos x="0" y="0"/>
                <wp:positionH relativeFrom="page">
                  <wp:posOffset>6597015</wp:posOffset>
                </wp:positionH>
                <wp:positionV relativeFrom="paragraph">
                  <wp:posOffset>2463165</wp:posOffset>
                </wp:positionV>
                <wp:extent cx="615950" cy="252730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159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закупок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519.45000000000005pt;margin-top:193.95000000000002pt;width:48.5pt;height:19.900000000000002pt;z-index:-125829369;mso-wrap-distance-left:9.pt;mso-wrap-distance-top:80.900000000000006pt;mso-wrap-distance-right:9.200000000000001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закупок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077/06/106-17757/2023 о нарушении</w:t>
        <w:br/>
        <w:t>законодательства о контрактной системе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4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видео</w:t>
        <w:softHyphen/>
        <w:t>конференц-связи) при участии представителя ФГБУ ФБ МСЭ МИНТРУДА РОССИИ: Пономорева В.А. (по доверенности от 11.12.2023 №474/юр-23),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ИП Попрыго А.С., о времени и порядке заседания Комиссии Управления уведомленных надлежащим образом посредством размещения сведений в Единой информационной системы,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Попрыго А.С. (далее — Заявитель) на действия ФГБУ ФБ МСЭ МИНТРУДА РОССИИ (далее — Заказчик) при проведении электронного аукциона на право заключения государственного контракта на оказание услуг по комплексному техническому обслуживанию промышленных кондиционеров, приточно-вытяжной установки и фреоновой холодильной машины с выносным конденсатором и насосами, обслуживающих отделение реанимации и операционный блок клиники (Закупка №0373100068723000341) (далее — аукцион), в соответствии с Федеральным законом от 05.04.2013 № 44-ФЗ «О контрактной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системе в сфере закупок товаров, работ, услуг для обеспечения государственных и муниципальных нужд» (далее — Закон о контрактной системе),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4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указанного аукциона.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доводам жалобы Заказчиком неправомерно не установлены дополнительные требования к участникам закупки, предусмотренные Постановлением Правительства Российской Федерации от 29.12.2021 № 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— постановление № 2571).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п.12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п.1 ч.1 ст.31 Закона о контрактной системе, требования, предъявляемые к участникам закупки в соответствии с ч.2 и 2.1 (при наличии таких требований) ст.31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ч.1.1 ст.31 Закона о контрактной системе (при наличии такого требования).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ч.2 ст.31 Закона о контрактной системе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9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финансовых ресурсов для исполнения контракта;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1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праве собственности или ином законном основании оборудования и других материальных ресурсов для исполнения контракта;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8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опыта работы, связанного с предметом контракта, и деловой репутации;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6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необходимого количества специалистов и иных работников определенного уровня квалификации для исполнения контракта.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ч.3 ст.31 Закона о контрактной системе перечень информации и документов, которые подтверждают соответствие участников закупок дополнительным требованиям, указанным в ч.2 и 2.1 ст.31 Закона о контрактной системе, устанавливается Правительством Российской Федерации.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77" w:right="539" w:bottom="543" w:left="1104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ч.4 ст.31 Закона о контрактной системе в случае установления 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Правительством Российской Федерации в соответствии с ч.2 ст.31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п.1 постановления №2571 установлено, что к участникам закупки отдельных видов товаров, работ, услуг предъявляются дополнительные требования согласно приложению «Дополнительные требования к участникам закупки отдельных видов товаров, работ, услуг для обеспечения государственных и муниципальных нужд» (далее — Приложение). Соответствие участников закупки указанным требованиям подтверждается информацией и документами, предусмотренными Приложением к постановлению №2571.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соответствии с Извещением о проведении электронного аукциона от 28.11.2023 №0373100068723000341 объектом закупки является оказание услуг по комплексному техническому обслуживанию промышленных кондиционеров, приточно-вытяжной установки и фреоновой холодильной машины с выносным конденсатором и насосами, обслуживающих отделение реанимации и операционный блок клиники, начальная (максимальная) цена контракта — 4 710 000,00 рублей.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абз.4 пп.«а» п.3 постановления № 2571 положения постановления применяются при проведении конкурентных способов определения поставщиков (подрядчиков, исполнителей), при этом позиция 14 приложения применяется в случае, если при осуществлении закупки начальная (максимальная) цена контракта превышает 1 млн. рублей.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Приложении к постановлению № 2571 дополнительные требования к участникам закупки установлены в отношении отдельных видов товаров, работ, услуг и сгруппированы в разделы в разрезе сферы закупаемых товаров, работ, услуг.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позиции 14 Приложения к постановлению № 2571 при проведении конкурентных процедур на работы, услуги по техническому обслуживанию зданий, сооружений, к участникам закупки устанавливаются дополнительные требования, подтверждающие наличие у участника закупки следующего опыта выполнения работ: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опыта исполнения участником закупки договора, предусматривающего выполнение работ, оказание услуг по техническому обслуживанию зданий, сооружений.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Цена выполненных работ, оказанных услуг по договору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rPr>
          <w:sz w:val="20"/>
          <w:szCs w:val="20"/>
        </w:rPr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77" w:right="539" w:bottom="543" w:left="1104" w:header="0" w:footer="115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 соответствии с ч.8 ст.55.24 Градостроительного кодекса Российской Федерации техническое обслуживание зданий, сооружений, текущий ремонт зданий, сооружений проводятся в целях обеспечения надлежащего технического состояния таких зданий, сооружений. Под надлежащим техническим состоянием зданий, сооружений понимаются поддержание параметров устойчивости, надежности зданий, сооружений, а также исправность строительных конструкций, систем инженерно-технического обеспечения, сетей инженерно-технического обеспечения, их элементов в соответствии с требованиями технических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2023-61198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регламентов, проектной документации.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п.21 ст.2 Федерального закона от 30.12.2009 № 384-ФЗ «Технический регламент о безопасности зданий и сооружений» система инженерно</w:t>
        <w:softHyphen/>
        <w:t xml:space="preserve">технического обеспечения - это одна из систем здания или сооружения, предназначенная для выполнения функций водоснабжения, канализации, отопления,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вентиляции, кондиционирования воздуха,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газоснабжения, электроснабжения, связи, информатизации, диспетчеризации, мусороудаления, вертикального транспорта (лифты, эскалаторы) или функций обеспечения безопасности.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согласно таблице №1 и приложению №1 Технического задания объектом закупки является техническое обслуживание вентиляции и холодоснабжения.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согласно п.3 ст.3 Федерального закона от 30.12.2009 № 384-ФЗ «Технический регламент о безопасности зданий и сооружений» положения закона не распространяется на безопасность технологических процессов, соответствующих функциональному назначению зданий и сооружений. Учету подлежат лишь возможные опасные воздействия этих процессов на состояние здания, сооружения или их частей.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Оборудование промышленных кондиционеров, приточно-вытяжной установки и фреоновой холодильной машины с выносным конденсатором и насосами предназначено для поддержания чистоты воздуха и микроклимата в нескольких помещениях ФГБУ ФБ МСЭ Минтруда России, то есть для обеспечения безопасности технологических процессов (в двух палатах отделения анестезиологии и реанимации и в четырех операционных операционного блока клиники) и не входят в состав здания.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п.1.1. Технического задания устанавливается цель оказания услуг: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«1.1.1.Комплексное техническое обслуживание (далее ТО) систем кондиционирования воздуха медицинских помещений (далее Систем) для обеспечения: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в) качественных и количественных характеристик воздухообмена в соответствии с требованиями действующих в РФ нормативов для медицинских помещений, включая: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кратность обмена воздуха,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очищение от пыли и обеззараживание,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скорость движения воздуха в рабочих зонах,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температуру и влажность воздуха в медицинских помещениях;»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40"/>
        <w:jc w:val="both"/>
        <w:rPr>
          <w:sz w:val="20"/>
          <w:szCs w:val="20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687" w:left="1106" w:header="0" w:footer="259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Вместе с тем Комиссия Управления отмечает, что согласно п.2.1 Технического задания Услуги по комплексному техническому обслуживанию промышленных кондиционеров, приточно-вытяжной установки и фреоновой холодильной машины с выносным конденсатором и насосами, обслуживающих отделение реанимации и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2023-61198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операционный блок клиники должны осуществляться в соответствии с требованиями нормативных правовых актов, действующих на территории Российской Федерации, в области оказываемых услуг, в том числе: - Федеральным законом от 30.12.2009 № 384-ФЗ «Технический регламент о безопасности зданий и сооружений».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оборудование, подлежащее обслуживанию, расположено на техническом этаже первого и второго блоков, за герметичным фальшпотолком четырех операционных и отделения анестезиологии-реанимации. Конденсатор холодильной машины размещен на крыше второго блока. Указанное оборудование обслуживает разные помещения здания и объединено в отдельную систему.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Тем самым обслуживаемое оборудование относится к системе инженерно</w:t>
        <w:softHyphen/>
        <w:t>технического обеспечения.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 о нарушении Заказчиком ч.4 ст.31, п.12 ч.1 ст.42 Закона о контрактной системе в связи с неустановлением дополнительных требований к участникам закупки, предусмотренных ч.2 ст.31 Закона о контрактной системе, что содержит признаки состава административного правонарушения, ответственность за которое предусмотрена ч.1.4 ст.7.30 Кодекса Российской Федерации об административных правонарушениях.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46" w:bottom="1162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  <w:bookmarkEnd w:id="6"/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ИП Попрыго А.С. на действия ФГБУ ФБ МСЭ МИНТРУДА РОССИИ обоснованной.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Заказчика нарушение ч.4 ст.31, п.12 ч.1 ст.42 Закона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42" w:val="left"/>
        </w:tabs>
        <w:bidi w:val="0"/>
        <w:spacing w:before="0" w:after="24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36" w:bottom="1792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08000" distB="356235" distL="0" distR="0" simplePos="0" relativeHeight="125829386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508000</wp:posOffset>
                </wp:positionV>
                <wp:extent cx="1850390" cy="250190"/>
                <wp:wrapTopAndBottom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57.950000000000003pt;margin-top:40.pt;width:145.70000000000002pt;height:19.699999999999999pt;z-index:-125829367;mso-wrap-distance-left:0;mso-wrap-distance-top:40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44830" distB="0" distL="0" distR="1789430" simplePos="0" relativeHeight="125829388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544830</wp:posOffset>
            </wp:positionV>
            <wp:extent cx="389890" cy="572770"/>
            <wp:wrapTopAndBottom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980440</wp:posOffset>
                </wp:positionV>
                <wp:extent cx="1280160" cy="103505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81.15000000000003pt;margin-top:77.200000000000003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669925</wp:posOffset>
                </wp:positionV>
                <wp:extent cx="1725295" cy="255905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77.55000000000001pt;margin-top:52.7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08000" distB="356235" distL="0" distR="0" simplePos="0" relativeHeight="125829389" behindDoc="0" locked="0" layoutInCell="1" allowOverlap="1">
                <wp:simplePos x="0" y="0"/>
                <wp:positionH relativeFrom="page">
                  <wp:posOffset>6185535</wp:posOffset>
                </wp:positionH>
                <wp:positionV relativeFrom="paragraph">
                  <wp:posOffset>508000</wp:posOffset>
                </wp:positionV>
                <wp:extent cx="1029970" cy="250190"/>
                <wp:wrapTopAndBottom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487.05000000000001pt;margin-top:40.pt;width:81.100000000000009pt;height:19.699999999999999pt;z-index:-125829364;mso-wrap-distance-left:0;mso-wrap-distance-top:40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53535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535353"/>
          <w:spacing w:val="0"/>
          <w:w w:val="100"/>
          <w:position w:val="0"/>
          <w:shd w:val="clear" w:color="auto" w:fill="auto"/>
          <w:lang w:val="ru-RU" w:eastAsia="ru-RU" w:bidi="ru-RU"/>
        </w:rPr>
        <w:t>00СА17306423В8С790А31806189СЭЕ338Р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53535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24.01.2023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18.04.2024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660"/>
        <w:jc w:val="left"/>
      </w:pPr>
      <w:r>
        <w:drawing>
          <wp:anchor distT="0" distB="0" distL="114300" distR="1903730" simplePos="0" relativeHeight="125829391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25400</wp:posOffset>
            </wp:positionV>
            <wp:extent cx="389890" cy="433070"/>
            <wp:wrapSquare wrapText="right"/>
            <wp:docPr id="32" name="Shape 3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box 33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89890" cy="4330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277.55000000000001pt;margin-top:12.1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А.И. Рахматуллаев</w:t>
      </w:r>
    </w:p>
    <w:p>
      <w:pPr>
        <w:pStyle w:val="Style2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4520" w:right="0" w:firstLine="0"/>
        <w:jc w:val="left"/>
      </w:pPr>
      <w:r>
        <w:rPr>
          <w:color w:val="E7E7E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СЕРТИФИКАТЕ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Рахматуллаев Алексей Ильич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919191"/>
          <w:spacing w:val="0"/>
          <w:w w:val="100"/>
          <w:position w:val="0"/>
          <w:shd w:val="clear" w:color="auto" w:fill="auto"/>
          <w:lang w:val="ru-RU" w:eastAsia="ru-RU" w:bidi="ru-RU"/>
        </w:rPr>
        <w:t>11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>ВЗВЭ45854ЭЕВ6С993Е00602СОЕВЕЕС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07.09.2023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30.11.2024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95" w:line="240" w:lineRule="auto"/>
        <w:ind w:left="0" w:right="0" w:firstLine="880"/>
        <w:jc w:val="left"/>
      </w:pPr>
      <w:r>
        <w:drawing>
          <wp:anchor distT="0" distB="0" distL="114300" distR="1921510" simplePos="0" relativeHeight="125829392" behindDoc="0" locked="0" layoutInCell="1" allowOverlap="1">
            <wp:simplePos x="0" y="0"/>
            <wp:positionH relativeFrom="page">
              <wp:posOffset>3131820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36" name="Shape 3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box 37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146050</wp:posOffset>
                </wp:positionV>
                <wp:extent cx="1725295" cy="255905"/>
                <wp:wrapNone/>
                <wp:docPr id="38" name="Shape 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4" type="#_x0000_t202" style="position:absolute;margin-left:277.55000000000001pt;margin-top:11.5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26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left="4520" w:right="0" w:firstLine="0"/>
        <w:jc w:val="left"/>
      </w:pPr>
      <w:r>
        <w:rPr>
          <w:color w:val="E7E7E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6366183222Е5ОСЕ2САЗЕ6О732820С91 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>С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23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23.01.2023 по 17.04.2024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Исп.Кутейников А.А.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6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10114280</wp:posOffset>
              </wp:positionV>
              <wp:extent cx="71628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2023-61198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25pt;margin-top:796.39999999999998pt;width:56.3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2023-61198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16280" cy="1003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2023-61198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804.5pt;width:56.39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2023-61198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10114280</wp:posOffset>
              </wp:positionV>
              <wp:extent cx="716280" cy="100330"/>
              <wp:wrapNone/>
              <wp:docPr id="20" name="Shape 2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2023-61198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6" type="#_x0000_t202" style="position:absolute;margin-left:57.25pt;margin-top:796.39999999999998pt;width:56.399999999999999pt;height:7.90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2023-61198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25pt;margin-top:37.5pt;width:5.0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3928745</wp:posOffset>
              </wp:positionH>
              <wp:positionV relativeFrom="page">
                <wp:posOffset>199390</wp:posOffset>
              </wp:positionV>
              <wp:extent cx="57785" cy="103505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2" type="#_x0000_t202" style="position:absolute;margin-left:309.35000000000002pt;margin-top:15.700000000000001pt;width:4.5499999999999998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18" name="Shape 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4" type="#_x0000_t202" style="position:absolute;margin-left:309.25pt;margin-top:37.5pt;width:5.0499999999999998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10">
    <w:name w:val="Заголовок №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9">
    <w:name w:val="Заголовок №3_"/>
    <w:basedOn w:val="DefaultParagraphFont"/>
    <w:link w:val="Style1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3">
    <w:name w:val="Подпись к картинке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  <w:style w:type="character" w:customStyle="1" w:styleId="CharStyle27">
    <w:name w:val="Основной текст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6C6C6C"/>
      <w:sz w:val="12"/>
      <w:szCs w:val="12"/>
      <w:u w:val="none"/>
    </w:rPr>
  </w:style>
  <w:style w:type="character" w:customStyle="1" w:styleId="CharStyle35">
    <w:name w:val="Основной текст (4)_"/>
    <w:basedOn w:val="DefaultParagraphFont"/>
    <w:link w:val="Style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auto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16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8">
    <w:name w:val="Заголовок №3"/>
    <w:basedOn w:val="Normal"/>
    <w:link w:val="CharStyle19"/>
    <w:pPr>
      <w:widowControl w:val="0"/>
      <w:shd w:val="clear" w:color="auto" w:fill="auto"/>
      <w:spacing w:after="280"/>
      <w:jc w:val="center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22">
    <w:name w:val="Подпись к картинке"/>
    <w:basedOn w:val="Normal"/>
    <w:link w:val="CharStyle23"/>
    <w:pPr>
      <w:widowControl w:val="0"/>
      <w:shd w:val="clear" w:color="auto" w:fill="auto"/>
      <w:spacing w:line="21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  <w:style w:type="paragraph" w:customStyle="1" w:styleId="Style26">
    <w:name w:val="Основной текст (2)"/>
    <w:basedOn w:val="Normal"/>
    <w:link w:val="CharStyle27"/>
    <w:pPr>
      <w:widowControl w:val="0"/>
      <w:shd w:val="clear" w:color="auto" w:fill="auto"/>
      <w:spacing w:after="40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C6C6C"/>
      <w:sz w:val="12"/>
      <w:szCs w:val="12"/>
      <w:u w:val="none"/>
    </w:rPr>
  </w:style>
  <w:style w:type="paragraph" w:customStyle="1" w:styleId="Style34">
    <w:name w:val="Основной текст (4)"/>
    <w:basedOn w:val="Normal"/>
    <w:link w:val="CharStyle35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image" Target="media/image2.jpeg"/><Relationship Id="rId16" Type="http://schemas.openxmlformats.org/officeDocument/2006/relationships/image" Target="media/image2.jpeg" TargetMode="External"/><Relationship Id="rId17" Type="http://schemas.openxmlformats.org/officeDocument/2006/relationships/image" Target="media/image3.jpeg"/><Relationship Id="rId18" Type="http://schemas.openxmlformats.org/officeDocument/2006/relationships/image" Target="media/image3.jpeg" TargetMode="External"/><Relationship Id="rId19" Type="http://schemas.openxmlformats.org/officeDocument/2006/relationships/image" Target="media/image4.jpeg"/><Relationship Id="rId20" Type="http://schemas.openxmlformats.org/officeDocument/2006/relationships/image" Target="media/image4.jpeg" TargetMode="External"/></Relationships>
</file>