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434715" distL="1165860" distR="1108075" simplePos="0" relativeHeight="125829378" behindDoc="0" locked="0" layoutInCell="1" allowOverlap="1">
            <wp:simplePos x="0" y="0"/>
            <wp:positionH relativeFrom="page">
              <wp:posOffset>1802765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64920" distL="114300" distR="114300" simplePos="0" relativeHeight="125829379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728980</wp:posOffset>
                </wp:positionV>
                <wp:extent cx="2578735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360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360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Краснодарскому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350058, г. Краснодар, ул. Старокубанская, 116А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2309053192, 8(499)7552323 доб. 023-201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1о23@Га8.§оу.гп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 w:line="271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360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71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360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9.149999999999999pt;margin-top:57.399999999999999pt;width:203.05000000000001pt;height:162.70000000000002pt;z-index:-125829374;mso-wrap-distance-left:9.pt;mso-wrap-distance-top:56.399999999999999pt;mso-wrap-distance-right:9.pt;mso-wrap-distance-bottom:99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360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360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Краснодарскому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350058, г. Краснодар, ул. Старокубанская, 116А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2309053192, 8(499)7552323 доб. 023-201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1о23@Га8.§оу.гп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 w:line="271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360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71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360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6845" distR="127000" simplePos="0" relativeHeight="125829381" behindDoc="0" locked="0" layoutInCell="1" allowOverlap="1">
                <wp:simplePos x="0" y="0"/>
                <wp:positionH relativeFrom="page">
                  <wp:posOffset>793750</wp:posOffset>
                </wp:positionH>
                <wp:positionV relativeFrom="paragraph">
                  <wp:posOffset>3143250</wp:posOffset>
                </wp:positionV>
                <wp:extent cx="2523490" cy="9175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917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РЕШЕНИЕ №1287/2023 по делу № 023/06/42-6371/2023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2.5pt;margin-top:247.5pt;width:198.70000000000002pt;height:72.25pt;z-index:-125829372;mso-wrap-distance-left:12.35pt;mso-wrap-distance-top:246.5pt;mso-wrap-distance-right:10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РЕШЕНИЕ №1287/2023 по делу № 023/06/42-6371/2023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Лабстар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350007, Краснодарский край, Краснодар г, им. Захарова ул., д. 1 литер «О», ком. 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т!о@1аЬ81аг.ш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115114, г. Москва, ул. Кожевническая, д. 14 стр. 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тГо@го8е11огд.ш, ко@го8е11огд.ш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«Государственный морской университет им. адмирала Ф.Ф. Ушакова» 353924, Краснодарский край, г. Новороссийск, пр. Ленина, д. 93 копкиг8@п8та.ги; е1 ,хаках@дтаП.сот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5569585</wp:posOffset>
                </wp:positionH>
                <wp:positionV relativeFrom="paragraph">
                  <wp:posOffset>12700</wp:posOffset>
                </wp:positionV>
                <wp:extent cx="902335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Краснодар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8.55000000000001pt;margin-top:1.pt;width:71.049999999999997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Краснодар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декабря 2023 года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Литовченко Л.А.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Метакса Я.К., Головко Е.Н., Коваленко Я.А.,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 видео-конференц-связи представителя ФГБОУ ВО «Государственный морской университет имени адмирала Ф.Ф. Ушакова» (далее - Заказчик), в отсутствие представителя ООО «ЛабСтар», рассмотрев жалобу ООО «ЛабСтар» (далее - Заявитель) на действия ФГБОУ ВО «Государственный морской университет имени адмирала Ф.Ф. Ушакова» при проведении запроса котировок в электронной форме: «Закупка лабораторного оборудования» (извещение № 0318100021023000037) в части нарушения законодательства о контрактной системе,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нарушения, допущенные Заказчиком при установлении требований в извещении к «Описанию объекта закупки» повлекли необоснованное отклонение заявки ООО «ЛабСтар».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материалы, Комиссия пришла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28.11.2023г. Заказчиком - ФГБОУ ВО «Государственный морской университет имени адмирала Ф.Ф. Ушакова» размещено извещение на проведение запроса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0"/>
        </w:rPr>
        <w:t>котировок в электронной форме: «Закупка лабораторного оборудования» (извещение № 0318100021023000037).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- 7 752 441,00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fldChar w:fldCharType="begin"/>
      </w:r>
      <w:r>
        <w:rPr/>
        <w:instrText> HYPERLINK "http://www.consultant.ru/document/cons_doc_LAW_388926/b049ab61078e25e03a91a0999ed81ee37a622560/%23dst2589"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 4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"http://www.consultant.ru/document/cons_doc_LAW_388926/fc5809ef5588b4cf9720e8f06229a67093c06389/%23dst2520"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"http://www.consultant.ru/document/cons_doc_LAW_388926/fc5809ef5588b4cf9720e8f06229a67093c06389/%23dst2527"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 части 12 статьи 48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"http://www.consultant.ru/document/cons_doc_LAW_388926/b049ab61078e25e03a91a0999ed81ee37a622560/%23dst2592"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"а"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fldChar w:fldCharType="begin"/>
      </w:r>
      <w:r>
        <w:rPr/>
        <w:instrText> HYPERLINK "http://www.consultant.ru/document/cons_doc_LAW_388926/b049ab61078e25e03a91a0999ed81ee37a622560/%23dst2577"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9 части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"http://www.consultant.ru/document/cons_doc_LAW_388926/b049ab61078e25e03a91a0999ed81ee37a622560/%23dst2577"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"http://www.consultant.ru/document/cons_doc_LAW_388926/b049ab61078e25e03a91a0999ed81ee37a622560/%23dst2577"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абзацем первым пункта 9 части 3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"http://www.consultant.ru/document/cons_doc_LAW_388926/2c1e3551b4209a9fa5744534f7525ac7430624eb/%23dst100116"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fldChar w:fldCharType="begin"/>
      </w:r>
      <w:r>
        <w:rPr/>
        <w:instrText> HYPERLINK "http://www.consultant.ru/document/cons_doc_LAW_388926/fc5809ef5588b4cf9720e8f06229a67093c06389/%23dst2547"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"http://www.consultant.ru/document/cons_doc_LAW_388926/fc5809ef5588b4cf9720e8f06229a67093c06389/%23dst2548"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"http://www.consultant.ru/document/cons_doc_LAW_388926/fc5809ef5588b4cf9720e8f06229a67093c06389/%23dst2550"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"http://www.consultant.ru/document/cons_doc_LAW_388926/fc5809ef5588b4cf9720e8f06229a67093c06389/%23dst2553"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7 части 17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"http://www.consultant.ru/document/cons_doc_LAW_388926/fc5809ef5588b4cf9720e8f06229a67093c06389/%23dst2553"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^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№ 0318100021023000037 подведения итогов определения поставщика (подрядчика, исполнителя) от 05.12.2023г. на участие подано 8 заявок, 7 из которых отклонены.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ООО «ЛабСтар» (№285447) отклонена по п. 1) ч. 12 ст. 48 Закона о контрактной системе.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2), 3) ч. 6 ст. 43 Закона о контрактной системе), несоответствие таких информации и документов требованиям. Не указаны товарные знаки при указании информации о их наличии (п.п. 21,23,24). Не указаны товарные знаки при указании наименования оборудования с зарегистрированными товарными знаками (например: п.2- ТА^ЕК 1\В ТЕСН^О^ООУ ТА^ЕК, рег№ 621815; пп. 22,27,29- товарный знак «Экрос» рег№602867).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ст. 42 Закона о контрактной системе гласит,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банком Российской Федерации и используемого при оплате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74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1), п. 2)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33 Закона о контрактной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извещения размещен файл «Приложение_4_Техническое_задание»,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где Заказчиком установлены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 поз. 21, 22, 23, 24, 27, 29 установлены требования:</w:t>
      </w:r>
    </w:p>
    <w:tbl>
      <w:tblPr>
        <w:tblOverlap w:val="never"/>
        <w:jc w:val="center"/>
        <w:tblLayout w:type="fixed"/>
      </w:tblPr>
      <w:tblGrid>
        <w:gridCol w:w="562"/>
        <w:gridCol w:w="1709"/>
        <w:gridCol w:w="677"/>
        <w:gridCol w:w="725"/>
        <w:gridCol w:w="6374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Кол- во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Функциональные, технические, качественные, эксплуатационные (потребительские) характеристики товара</w:t>
            </w:r>
          </w:p>
        </w:tc>
      </w:tr>
      <w:tr>
        <w:trPr>
          <w:trHeight w:val="56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Сушильный шкаф вертикальный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Сушильный шкаф предназначен для сушки, обжига, плавления, термоотверждения и стерилизации различных изделий, обработки инструментов и образцов, проведения лабораторных исследований. Сушильный шкаф должен быть в корпусе с нанесенным товарным знаком и иметь: камеру из нержавеющей стали, цифровой ПИД-регулятор, принудительную циркуляцию воздуха (вентилятор), регулируемую скорость вращения вентилятора, быстрый и равномерный нагрев рабочей камеры, обратный таймер (шкаф прекращает работать по истечении заданного времени).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Рабочий диапазон температур - Ткомн +15 - 300°С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Точность поддержания температуры (в диапазоне до 250°С) - ±1°С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Дискретность установки температуры - 0,1°С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Неравномерность температуры по объему - ±2°С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Диапазон времени таймера - 9999 мин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Стандартное/ максимальное количество устанавливаемых полок - 2/13 шт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Допустимая распределённая нагрузка на полку не менее 12 кг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Объем камеры не менее 63 л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Размеры камеры (ШхГхВ): 405х350х458 мм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Наружные размеры (ШхГхВ): 615х610х875 мм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от сети переменного тока (50 Гц) - 220 ± 10 В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потребляемая мощность - 1600 Вт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Масса: 68 кг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Средний срок службы: 7 лет.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Комплектность: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Шкаф - 1 шт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Полка - 2 шт.</w:t>
            </w:r>
          </w:p>
        </w:tc>
      </w:tr>
      <w:tr>
        <w:trPr>
          <w:trHeight w:val="53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Центрифуга лабораторная с ротором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Центрифуга предназначена для разделения фракций различной плотности в химических, биохимических, промышленных и учебных лабораториях.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Сменные роторы для разных сосудов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Бесщеточный двигатель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Управление с помощью цветного сенсорного экрана и кнопок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Цифровая установка и индикация скорости вращения и центробежного ускорения (КСТ)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Равномерный набор заданной скорости вращения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Электромеханическая блокировка крышки во время работы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 режимов ускорения и 9 режимов замедления для запуска и остановки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Система компенсации дисбаланса ротора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Интеллектуальная система воздушного потока для контроля температуры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Функция памяти последнего запуска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Аварийное открывание крышки при отключении электроэнергии.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ротора - Угловой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скорость вращения не менее 4200 об/мин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Дискретность установки скорости вращения - 100 об/мин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Максимальное центробежное ускорение (ВСГ) - 2410 д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Вместимость штатного ротора - 16х15 мл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Максимальное время установки таймера - 99 мин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Дискретность установки времени таймера - 1 мин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Уровень шума - не более 654В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 (ДхШхВ) - 475х585х360 мм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- 24.7кг (без ротора)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Магнитная мешалка с подогревом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Магнитная мешалка с подогревом предназначена для перемешивания жидкостей с помощью магнитного якоря и обладать функцией нагрева поверхности мешалки. Корпус должен быть выполнен из полипропилена с нанесенным товарным знаком. Материал изготовления якоря: фторопласт 27х10 мм.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Максимальный перемешиваемый объем - 1000 мл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Диапазон частоты вращения якоря - от 200 до 2000 об./мин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62"/>
        <w:gridCol w:w="1709"/>
        <w:gridCol w:w="677"/>
        <w:gridCol w:w="725"/>
        <w:gridCol w:w="6374"/>
      </w:tblGrid>
      <w:tr>
        <w:trPr>
          <w:trHeight w:val="105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1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Температура поверхности нагревателя - 100 °С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1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потребляемая мощность - 40 Вт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1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от сети переменного тока - 50-60 Гц, 90-240 В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1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 - 120x105x50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1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- 0,4.</w:t>
            </w:r>
          </w:p>
        </w:tc>
      </w:tr>
      <w:tr>
        <w:trPr>
          <w:trHeight w:val="22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Мешалка магнитная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Мешалка предназначена для перемешивания жидкостей с помощью магнитного якоря. Корпус устройства должен быть выполнен из полипропилена с нанесенным товарным знаком, материал изготовления якоря: фторопласт 22х7 мм.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Максимальный перемешиваемый объем - 1000 мл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Диапазон частоты вращения якоря - от 200 до 2000 об./мин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потребляемая мощность - 2 Вт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от сети переменного тока (50-60Гц) - 90-240В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 - 120x105x50 мм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- 0,3 кг.</w:t>
            </w:r>
          </w:p>
        </w:tc>
      </w:tr>
      <w:tr>
        <w:trPr>
          <w:trHeight w:val="35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Устройство для сушки посуды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Устройство для сушки посуды предназначено для одновременной сушки до 26 единиц крупной (колбы; стаканы) и до 13 единиц мелкой лабораторной посуды (пробирки). В устройстве должен быть предусмотрен таймер, воздушный фильтр, встроенная защита от перегрева и выхода из строя нагревательного элемента, отдел для сушки мелких предметов.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Напряжение питания - 220±20 В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Потребляемая мощность - не более 1500 Вт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- 17 кг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Температура выходящего потока воздуха, °С: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 режиме «ПЛАСТИК» 50±5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 режиме «СТЕКЛО» 75±5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 режиме «КОМНАТНАЯ ТЕМПЕРАТУРА» - обдув воздухом комнатной температуры без нагрева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Максимальное время непрерывной работы - 8 ч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 - 550х281х515 мм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Количество штырей: 26 шт. (0=12 мм) + 13 шт. (0=6.5 мм).</w:t>
            </w:r>
          </w:p>
        </w:tc>
      </w:tr>
      <w:tr>
        <w:trPr>
          <w:trHeight w:val="31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Устройство для сушки посуды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Предназначено для быстрого просушивания химической посуды в потоке теплого воздуха.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температура нагрева воздуха - 65± 5°С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Максимальное время непрерывной работы - 8 ч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Максимальная потребляемая мощность - 1000 Вт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Питание от сети переменного тока (50 Гц) - 220 ± 10 В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9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Габаритные размеры - диаметр 347 мм, высота 625 мм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96" w:val="left"/>
              </w:tabs>
              <w:bidi w:val="0"/>
              <w:spacing w:before="0" w:after="18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Встроенный воздушный фильтр.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Количество штырей: 27 шт (0=12 мм, длина штырей разная - 100, 120, 140, 160,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180 мм)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Масса - 5,6 кг.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1) ч. 2 ст. 43 Закона о контрактной системе при формировании предложения участника закупки в отношении объекта закупки: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информация о товаре,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подпунктами "а"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"б" пункта 2 части 1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настоящей статьи, включается в заявку на участие в закупке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подпунктом "а" пункта 2 части 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 3)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требования к содержанию, составу заявки на участие в закупке в соответствии с настоящим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содержит файл «Приложение 3 Требования к содержанию, составу заявки и инструкция», где Заказчиком в «Инструкции по заполнению заявки» установлено: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 При подготовке заявки участник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закупки должен исходить из того,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что он готовит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свое предложение с учетом требований к техническим характеристикам и показателям, установленным в извещении,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после полного изучения содержания вышеназванного извещения и всех приложений к нему.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Участник закупки представляет в любой удобной форме или по форме, рекомендованной заказчиком, информацию о характеристиках предлагаемого участником закупки товара, соответствующие показателям, установленным в описании объекта закупки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указание в Предложении показателей, установленных в описании объекта закупки в отношении товара, а также значений этих показателей, в том числе единиц измерения, может расцениваться как несоответствие информации, представленной в составе заявки требованиям закупочной документации, и такая заявка может быть признана несоответствующей требованиям документации о закупке, что влечет за собой отклонение заявки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соответствии с инструкцией участник может прикрепить файл с предлагаемыми характеристиками.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файле заявки ООО «ЛабСтар» к поставке по поз.21,22,23,24,27,29 указан товар: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1570" cy="131699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211570" cy="13169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99"/>
        <w:gridCol w:w="4930"/>
        <w:gridCol w:w="1459"/>
        <w:gridCol w:w="1176"/>
        <w:gridCol w:w="1397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DBEEF4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2B2F37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EEF4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2B2F3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Ценз рмфуга лаборатории с ротором ' ЭКРОС-6914 с роз пром 16x15 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EEF4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2B2F37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EEF4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2B2F37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BEEF4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2B2F37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Россия</w:t>
            </w:r>
          </w:p>
        </w:tc>
      </w:tr>
      <w:tr>
        <w:trPr>
          <w:trHeight w:val="1920" w:hRule="exact"/>
        </w:trPr>
        <w:tc>
          <w:tcPr>
            <w:gridSpan w:val="5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58555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центрифуга предназначая для разделения фракций различной плотности в химических, биохимических, промышленных и учебных лабораториях. Характеристики </w:t>
            </w:r>
            <w:r>
              <w:rPr>
                <w:rFonts w:ascii="Arial" w:eastAsia="Arial" w:hAnsi="Arial" w:cs="Arial"/>
                <w:color w:val="969491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color w:val="58555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сменные роторы для разных сосудов; безще- точный двигатель; управление с помощью цветного сенсорного экрана и кнопок; цифровая установка и индикация скорости вращения и центробежного ускорения (КС'Н); равномерный набор заданной скоро</w:t>
              <w:softHyphen/>
              <w:t>сти вращения; электромеханическая блокировка крышки яс время работы; девять режимов ускорения и девять режимов замедления для запуска и остановки; система компенсации дисбаланса ротора; интел</w:t>
              <w:softHyphen/>
              <w:t>лектуальная система воздушного потока для контроля температуры; функция памяти последнего запус</w:t>
              <w:softHyphen/>
              <w:t>ка; аварийное открывание крышки при отключении элск1р0энср1 ни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b/>
          <w:bCs/>
          <w:color w:val="404E57"/>
          <w:spacing w:val="0"/>
          <w:w w:val="100"/>
          <w:position w:val="0"/>
          <w:sz w:val="18"/>
          <w:szCs w:val="18"/>
          <w:u w:val="none"/>
          <w:shd w:val="clear" w:color="auto" w:fill="auto"/>
          <w:lang w:val="ru-RU" w:eastAsia="ru-RU" w:bidi="ru-RU"/>
        </w:rPr>
        <w:t>Технические характер!! с гики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588" w:val="left"/>
        </w:tabs>
        <w:bidi w:val="0"/>
        <w:spacing w:before="0" w:after="0" w:line="264" w:lineRule="auto"/>
        <w:ind w:left="0" w:right="0" w:firstLine="380"/>
        <w:jc w:val="left"/>
        <w:rPr>
          <w:sz w:val="19"/>
          <w:szCs w:val="19"/>
        </w:rPr>
      </w:pPr>
      <w:r>
        <w:rPr>
          <w:b/>
          <w:bCs/>
          <w:color w:val="2B2F37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23 |Мя1нн шня меши-зка с подш ревим 1Ы-61 Ю</w:t>
        <w:tab/>
        <w:t>| ипука | Я |~ России</w:t>
      </w:r>
    </w:p>
    <w:p>
      <w:pPr>
        <w:pStyle w:val="Style39"/>
        <w:keepNext w:val="0"/>
        <w:keepLines w:val="0"/>
        <w:widowControl w:val="0"/>
        <w:shd w:val="clear" w:color="auto" w:fill="auto"/>
        <w:tabs>
          <w:tab w:leader="underscore" w:pos="9358" w:val="left"/>
        </w:tabs>
        <w:bidi w:val="0"/>
        <w:spacing w:before="0" w:after="0"/>
        <w:ind w:left="3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магнитная мешалка с подшревом предназначена для перемешивания жидкостей с помощью магнитного якоря н обладает функцией нагрева поверхности мешалки. Корпус выполнен из полипропилена с </w:t>
      </w:r>
      <w:r>
        <w:rPr>
          <w:color w:val="6C6B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нане- </w:t>
      </w:r>
      <w:r>
        <w:rPr>
          <w:color w:val="2B2F37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еенпыч [сварным таком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Материал тготвления якоря фюропласт 27x10 мм</w:t>
      </w:r>
      <w:r>
        <w:rPr>
          <w:color w:val="2B2F37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585558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Т&lt;*нммчелгип тяпнт*-пютмги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4848" w:val="left"/>
          <w:tab w:pos="7810" w:val="left"/>
        </w:tabs>
        <w:bidi w:val="0"/>
        <w:spacing w:before="0" w:line="240" w:lineRule="auto"/>
        <w:ind w:left="0" w:right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|О1Яч.ь.ы</w:t>
        <w:tab/>
      </w:r>
      <w:r>
        <w:rPr>
          <w:color w:val="6C6B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|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ЫЫЛЛ |-г«апвлг* </w:t>
      </w:r>
      <w:r>
        <w:rPr>
          <w:color w:val="6C6B6D"/>
          <w:spacing w:val="0"/>
          <w:w w:val="100"/>
          <w:position w:val="0"/>
          <w:shd w:val="clear" w:color="auto" w:fill="auto"/>
          <w:lang w:val="ru-RU" w:eastAsia="ru-RU" w:bidi="ru-RU"/>
        </w:rPr>
        <w:t>।</w:t>
        <w:tab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у,-т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588" w:val="left"/>
          <w:tab w:pos="7626" w:val="left"/>
          <w:tab w:pos="8230" w:val="left"/>
        </w:tabs>
        <w:bidi w:val="0"/>
        <w:spacing w:before="0" w:after="0" w:line="264" w:lineRule="auto"/>
        <w:ind w:left="0" w:right="0" w:firstLine="500"/>
        <w:jc w:val="left"/>
        <w:rPr>
          <w:sz w:val="19"/>
          <w:szCs w:val="19"/>
        </w:rPr>
      </w:pPr>
      <w:r>
        <w:rPr>
          <w:b/>
          <w:bCs/>
          <w:i/>
          <w:iCs/>
          <w:color w:val="2B2F37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14</w:t>
      </w:r>
      <w:r>
        <w:rPr>
          <w:b/>
          <w:bCs/>
          <w:color w:val="2B2F37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 xml:space="preserve"> ]Меша,т*&gt;‘я МЯ1ИИГНЦЯ П‘^-6100</w:t>
        <w:tab/>
        <w:t xml:space="preserve">| штука </w:t>
      </w:r>
      <w:r>
        <w:rPr>
          <w:b/>
          <w:bCs/>
          <w:color w:val="585558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|</w:t>
        <w:tab/>
      </w:r>
      <w:r>
        <w:rPr>
          <w:b/>
          <w:bCs/>
          <w:color w:val="2B2F37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7</w:t>
        <w:tab/>
      </w:r>
      <w:r>
        <w:rPr>
          <w:b/>
          <w:bCs/>
          <w:color w:val="585558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 xml:space="preserve">| </w:t>
      </w:r>
      <w:r>
        <w:rPr>
          <w:b/>
          <w:bCs/>
          <w:color w:val="2B2F37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Россия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551"/>
        <w:ind w:left="3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мешалки предназначена для перемешивания жидкостей с помощью магнитном якоря. Корпус устройст</w:t>
        <w:softHyphen/>
      </w:r>
      <w:r>
        <w:rPr>
          <w:color w:val="6C6B6D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ва выполнен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из 110.п111ро;н:.1С1[л </w:t>
      </w:r>
      <w:r>
        <w:rPr>
          <w:color w:val="2B2F37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с наиссснлым юпарным знаком, мн; ер и ил п ч; ошв.пси ня якоря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фторо-</w:t>
      </w:r>
    </w:p>
    <w:p>
      <w:pPr>
        <w:pStyle w:val="Style5"/>
        <w:keepNext w:val="0"/>
        <w:keepLines w:val="0"/>
        <w:widowControl w:val="0"/>
        <w:pBdr>
          <w:top w:val="single" w:sz="4" w:space="1" w:color="DBEEF4"/>
          <w:left w:val="single" w:sz="4" w:space="0" w:color="DBEEF4"/>
          <w:bottom w:val="single" w:sz="4" w:space="4" w:color="DBEEF4"/>
          <w:right w:val="single" w:sz="4" w:space="0" w:color="DBEEF4"/>
        </w:pBdr>
        <w:shd w:val="clear" w:color="auto" w:fill="DBEEF4"/>
        <w:tabs>
          <w:tab w:pos="5588" w:val="left"/>
          <w:tab w:pos="7626" w:val="left"/>
          <w:tab w:pos="8230" w:val="left"/>
        </w:tabs>
        <w:bidi w:val="0"/>
        <w:spacing w:before="0" w:after="1138" w:line="240" w:lineRule="auto"/>
        <w:ind w:left="0" w:right="0" w:firstLine="380"/>
        <w:jc w:val="both"/>
        <w:rPr>
          <w:sz w:val="19"/>
          <w:szCs w:val="19"/>
        </w:rPr>
      </w:pPr>
      <w:r>
        <w:rPr>
          <w:b/>
          <w:bCs/>
          <w:color w:val="2B2F37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27 |Устр&lt;1Йсгво д.ти сушки посуды 1Г)-2&lt;НО</w:t>
        <w:tab/>
        <w:t xml:space="preserve">| штуки </w:t>
      </w:r>
      <w:r>
        <w:rPr>
          <w:b/>
          <w:bCs/>
          <w:color w:val="404E57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|</w:t>
        <w:tab/>
      </w:r>
      <w:r>
        <w:rPr>
          <w:b/>
          <w:bCs/>
          <w:i/>
          <w:iCs/>
          <w:color w:val="2B2F37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1</w:t>
      </w:r>
      <w:r>
        <w:rPr>
          <w:b/>
          <w:bCs/>
          <w:color w:val="2B2F37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ab/>
      </w:r>
      <w:r>
        <w:rPr>
          <w:b/>
          <w:bCs/>
          <w:color w:val="404E57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| </w:t>
      </w:r>
      <w:r>
        <w:rPr>
          <w:b/>
          <w:bCs/>
          <w:color w:val="2B2F37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Россия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устройство для сушки посуды предназначено для одновременной сушки до 26 единиц крупной (колбы; стаканы) н до 13 единиц мелкой лабораторной посуды (пробирки). В устройстве предусмотрен таймер, воздушный филыр, встроенная защита от перегрева и выхода из строя нагревательного элемента, отдел ,|дя сушки мелких предметов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48400" cy="628015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248400" cy="6280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представлены пояснения согласно которым с доводами жалобы не согласны. Из пояснений следует, что в обоснование отклонения заявки ООО «ЛабСтар» указано, что в п.2- лабораторный рефрактометр (с поверкой) - наименование модели ТАСИ.ЕЕ ^АВ ТЕСН^О^ООУ ТАСтЕЕЕ. имеет товарный знак. Рег№ 621815; Товары по пунктам 22,27,29- также имеют товарный знак «Экрос» Рег№602867. Комиссией Заказчика установлено, что у предложенного товара имеется товарный знак. Однако по данным позициям товара участником не представлена информация о присвоенном товарном знаке. В пунктах 21,23,24 участник сообщил, что товар имеет товарный знак, а именно: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нанесенным товарным знаком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но не указал 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основания отклонения заявки ООО «ЛабСтар» указанные в протоколе №0318100021023000037 подведения итогов определения поставщика (подрядчика, исполнителя) от 05.12.2023г, не противоречат требованиям извещения и Закону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1) ч. 2 ст.105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(подрядчика. исполнителя). но не позднее пяти дней со дня. следующего за днем размещения в единой информационной системе протокола подведения итогов определения поставщика (подрядчика. исполнителя). подписания такого протокола (при проведении закрытого конкурса. закрытого аукциона). с учетом следующих особенностей: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жалоба на положения извещения об осуществлении закупки. документации о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(в случае. если настоящим Федеральным законом предусмотрена документация о закупке)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может быть подана до окончания срока подачи заявок на участие в закупке.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 этом участник закупки вправе подать только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на основании ч.15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«ЛабСтар»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Отменить приостановление определение поставщика (подрядчика, исполнителя) в части подписания контракта (извещение № 0318100021023000037).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60" w:right="0" w:firstLine="0"/>
        <w:jc w:val="both"/>
      </w:pPr>
      <w:r>
        <mc:AlternateContent>
          <mc:Choice Requires="wps">
            <w:drawing>
              <wp:anchor distT="0" distB="377825" distL="114300" distR="116840" simplePos="0" relativeHeight="125829385" behindDoc="0" locked="0" layoutInCell="1" allowOverlap="1">
                <wp:simplePos x="0" y="0"/>
                <wp:positionH relativeFrom="page">
                  <wp:posOffset>5666105</wp:posOffset>
                </wp:positionH>
                <wp:positionV relativeFrom="paragraph">
                  <wp:posOffset>12700</wp:posOffset>
                </wp:positionV>
                <wp:extent cx="1210310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Литовченко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6.15000000000003pt;margin-top:1.pt;width:95.299999999999997pt;height:18.5pt;z-index:-125829368;mso-wrap-distance-left:9.pt;mso-wrap-distance-right:9.2000000000000011pt;mso-wrap-distance-bottom:29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Литовченко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81000" distB="0" distL="354965" distR="114300" simplePos="0" relativeHeight="125829387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393700</wp:posOffset>
                </wp:positionV>
                <wp:extent cx="972185" cy="23177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Я.К. Метакса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5.10000000000002pt;margin-top:31.pt;width:76.549999999999997pt;height:18.25pt;z-index:-125829366;mso-wrap-distance-left:27.949999999999999pt;mso-wrap-distance-top:30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Я.К. Метакса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Головко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Коваленко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939" w:right="885" w:bottom="1176" w:left="96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746125</wp:posOffset>
              </wp:positionH>
              <wp:positionV relativeFrom="page">
                <wp:posOffset>10013315</wp:posOffset>
              </wp:positionV>
              <wp:extent cx="611441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1441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2023-38321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8.75pt;margin-top:788.45000000000005pt;width:481.44999999999999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2023-38321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751205</wp:posOffset>
              </wp:positionH>
              <wp:positionV relativeFrom="page">
                <wp:posOffset>10010140</wp:posOffset>
              </wp:positionV>
              <wp:extent cx="71310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9.149999999999999pt;margin-top:788.2000000000000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40">
    <w:name w:val="Основной текст (3)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color w:val="585558"/>
      <w:sz w:val="17"/>
      <w:szCs w:val="17"/>
      <w:u w:val="none"/>
    </w:rPr>
  </w:style>
  <w:style w:type="character" w:customStyle="1" w:styleId="CharStyle47">
    <w:name w:val="Основной текст (5)_"/>
    <w:basedOn w:val="DefaultParagraphFont"/>
    <w:link w:val="Style46"/>
    <w:rPr>
      <w:rFonts w:ascii="Arial" w:eastAsia="Arial" w:hAnsi="Arial" w:cs="Arial"/>
      <w:b/>
      <w:bCs/>
      <w:i w:val="0"/>
      <w:iCs w:val="0"/>
      <w:smallCaps w:val="0"/>
      <w:strike w:val="0"/>
      <w:color w:val="585558"/>
      <w:sz w:val="9"/>
      <w:szCs w:val="9"/>
      <w:u w:val="none"/>
    </w:rPr>
  </w:style>
  <w:style w:type="character" w:customStyle="1" w:styleId="CharStyle56">
    <w:name w:val="Подпись к картинке_"/>
    <w:basedOn w:val="DefaultParagraphFont"/>
    <w:link w:val="Style55"/>
    <w:rPr>
      <w:rFonts w:ascii="Arial" w:eastAsia="Arial" w:hAnsi="Arial" w:cs="Arial"/>
      <w:b w:val="0"/>
      <w:bCs w:val="0"/>
      <w:i w:val="0"/>
      <w:iCs w:val="0"/>
      <w:smallCaps w:val="0"/>
      <w:strike w:val="0"/>
      <w:color w:val="585558"/>
      <w:sz w:val="17"/>
      <w:szCs w:val="17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4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spacing w:after="25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9">
    <w:name w:val="Основной текст (3)"/>
    <w:basedOn w:val="Normal"/>
    <w:link w:val="CharStyle40"/>
    <w:pPr>
      <w:widowControl w:val="0"/>
      <w:shd w:val="clear" w:color="auto" w:fill="auto"/>
      <w:spacing w:after="290" w:line="295" w:lineRule="auto"/>
      <w:ind w:left="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85558"/>
      <w:sz w:val="17"/>
      <w:szCs w:val="17"/>
      <w:u w:val="none"/>
    </w:rPr>
  </w:style>
  <w:style w:type="paragraph" w:customStyle="1" w:styleId="Style46">
    <w:name w:val="Основной текст (5)"/>
    <w:basedOn w:val="Normal"/>
    <w:link w:val="CharStyle47"/>
    <w:pPr>
      <w:widowControl w:val="0"/>
      <w:shd w:val="clear" w:color="auto" w:fill="auto"/>
      <w:spacing w:after="60"/>
      <w:ind w:firstLine="600"/>
    </w:pPr>
    <w:rPr>
      <w:rFonts w:ascii="Arial" w:eastAsia="Arial" w:hAnsi="Arial" w:cs="Arial"/>
      <w:b/>
      <w:bCs/>
      <w:i w:val="0"/>
      <w:iCs w:val="0"/>
      <w:smallCaps w:val="0"/>
      <w:strike w:val="0"/>
      <w:color w:val="585558"/>
      <w:sz w:val="9"/>
      <w:szCs w:val="9"/>
      <w:u w:val="none"/>
    </w:rPr>
  </w:style>
  <w:style w:type="paragraph" w:customStyle="1" w:styleId="Style55">
    <w:name w:val="Подпись к картинке"/>
    <w:basedOn w:val="Normal"/>
    <w:link w:val="CharStyle56"/>
    <w:pPr>
      <w:widowControl w:val="0"/>
      <w:shd w:val="clear" w:color="auto" w:fill="auto"/>
      <w:spacing w:line="29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85558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