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460A1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460A1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1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1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Федеральной антимонопольной службы</w:t>
        <w:br/>
        <w:t>по Томской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140"/>
        <w:jc w:val="left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Адрес места нахождения: г.Томск, пр-кт. Ленина, 111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Почтовый адрес: 634069, г.Томск, пр-кт. Ленина, 111</w:t>
        <w:br/>
        <w:t>тел. (3822) 51-50-61, факс (3822) 51-29-80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е-тай: 1о70@(а8.§оу.п1</w:t>
      </w:r>
    </w:p>
    <w:p>
      <w:pPr>
        <w:pStyle w:val="Style11"/>
        <w:keepNext/>
        <w:keepLines/>
        <w:widowControl w:val="0"/>
        <w:shd w:val="clear" w:color="auto" w:fill="auto"/>
        <w:tabs>
          <w:tab w:pos="1954" w:val="left"/>
        </w:tabs>
        <w:bidi w:val="0"/>
        <w:spacing w:before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5.12,2023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АА/7742/2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color w:val="4460A1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№070/06/106-1092/2023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Федеральное государственное бюджетное образовательное учреждение высшего образования "Сибирский государственный медицинский университет" Министерства здравоохранения Российской Федерации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634050, г. Томск, Московский тракт, 2 ир^.р^аVО@88ти.^и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"РТС-тендер"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наб. Тараса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23А, 25 этаж, помещение 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ко@г18-1еп4ег.ги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"Бизнес-Плюс"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654029, Кемеровская область, 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Новокузнецк, ул. Вокзальная, д. 15, кв. 96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63" w:right="795" w:bottom="1217" w:left="1140" w:header="0" w:footer="3" w:gutter="0"/>
          <w:pgNumType w:start="1"/>
          <w:cols w:num="2" w:space="720" w:equalWidth="0">
            <w:col w:w="4214" w:space="1051"/>
            <w:col w:w="469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Ър-42@таП.ги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" w:after="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81" w:right="0" w:bottom="79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РЕШЕНИЕ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по делу №070/06/106-1092/2023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6"/>
          <w:szCs w:val="26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6042660</wp:posOffset>
                </wp:positionH>
                <wp:positionV relativeFrom="paragraph">
                  <wp:posOffset>774700</wp:posOffset>
                </wp:positionV>
                <wp:extent cx="612775" cy="24384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277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г. Томск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75.80000000000001pt;margin-top:61.pt;width:48.25pt;height:19.1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г. Томск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по результатам рассмотрения жалобы о нарушении</w:t>
        <w:br/>
        <w:t>законодательства Российской Федерации</w:t>
        <w:br/>
        <w:t>о контрактной системе в сфере закупок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05.12.2023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России, Комиссия) в составе: председателя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Абдурахманова А.Ф., - заместителя руководителя Управления;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2616" w:val="left"/>
        </w:tabs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Кобзевой М.А.,</w:t>
        <w:tab/>
        <w:t>- ведущего специалиста-эксперта отдела контроля органов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8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власти и торгов;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Лукьяненка К.К. - специалиста-эксперта отдела контроля органов власти и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6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торгов,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рассмотрев жалобу (вх. № 10151-ЭП/23 от 30.11.2023) от ООО «Бизнес-Плюс» (далее - Заявитель) на действия ФГБОУВО «СИБИРСКИЙ ГОСУДАРСТВЕННЫЙ МЕДИЦИНСКИЙ УНИВЕРСИТЕТ» МИНИСТЕРСТВА ЗДРАВООХРАНЕНИЯ РОССИЙСКОЙ ФЕДЕРАЦИИ (далее - Заказчик) при осуществлении закупки в форме электронного аукциона «Услуги по уборке помещений: оказание услуг по проведению ежедневной комплексной уборке общежитий СибГМУ №1» (извещение № 0365100014823000747) (далее - аукцион),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при участии посредством ВКС представителей Заказчика Кручевской Ю.С. (доверенность № 560 от 08.12.2023), Заявитель надлежащим образом уведомлен о месте и времени рассмотрения материалов деля явку не обеспечил, представителя не направил,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20" w:line="228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Томское УФАС России обратился Заявитель с жалобой, поданной в срок и соответствующей статье 105 Закона 44-ФЗ на действия Заказчика при осуществлении закупки в форме электронного аукциона «Услуги по уборке помещений: оказание услуг по проведению ежедневной комплексной уборке общежитий СибГМУ №1» (извещение № 0365100014823000747), нарушающие, по мнению Заявителя,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извещение о проведении аукциона противоречит требованиям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указывает следующее: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Документация о закупке содержит не соответствующие законодательству требования. А именно, при описании закупаемой услуги Заказчиком установлены характеристики не в соответствии с позицией КТРУ, соответствующей закупаемому товару;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Документация о закупке содержит неточности и противоречия по объему оказываемых услуг. В частности, документация о закупке не содержит исчерпывающей количественной оценки, позволяющей определить полный объем оказываемой услуги, имеются противоречия;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пояснил, что требования установлены в соответствии с законодательством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Заявителя просит признать жалобу 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просит признать жалобу 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проверки, Комиссия Томского УФАС России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закупки размещено на Официальном сайте единой информационной системы в сфере закупок в информационно</w:t>
        <w:softHyphen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телекоммуникационной сети Интернет (далее - Официальный сайт, ЕИС) 17.11.2023.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7 698 127,95 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 закупки - «Услуги по уборке помещений: оказание услуг по проведению ежедневной комплексной уборке общежитий СибГМУ №1».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подано 3 заявки.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1 - 2 части 1 статьи 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"или эквивалент";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пункта 14 части 3 статьи 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№145 (далее - постановление Правительства РФ № 145)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- Правила формирования КТРУ) и Правила использования каталога товаров, работ, услуг для обеспечения государственных и муниципальных нужд (далее - Правила использования КТРУ).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подпункта "б" пункта 2 Правил использования КТРУ каталог используется заказчиками в целях описания объектов закупки, которое включается в план-график закупок, извещение об осуществлении закупки, приглашение и документацию о закупке.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пункта 4 Правил использования КТРУ Заказчики обязаны применять информацию, включенную в позицию каталога в соответствии с подпунктами "б" - "и" пункта 10 Правил формирования КТРУ.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подпункта "г" пункта 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пунктом 13 Правил формирования КТРУ.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81" w:right="568" w:bottom="799" w:left="107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установлено, что Заказчиком в извещении о проведении Аукциона для оказываемой услуги установлен код позиции КТРУ 81.21.10.000-00000006.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Техническому заданию Приложения № 1 к Контракту, в рамках исполнения контракта предусмотрено: Наименование объекта закупки: «Услуги по уборке» в количестве 1 561 486,40 кв.м.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При этом Техническим заданием пунктом 20 Технического задания (Таблица 4) предусмотрено, мытье оконных блоков с внутренней и наружной стороны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на заседании Комиссии представитель Заказчика представил пояснения, согласно которым: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Понятие «Услуги по уборке» является комплексным и мытье окон также является услугой по уборке.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Заказчик отмечает, что так как такой вид услуги по уборке как мытье окон требуется лишь 1 раз в год выделять, исходя из собственных нужд и опыта потребления соответствующих услуг, применять позицию КТРУ отличную от 81.21.10.000-00000006 нецелесообразно, а указание заказчиком в аукционной документации особых характеристик товара, услуг, которые отвечают его потребностям и необходимы Заказчику с учетом специфики использования такого товара, услуг, не может рассматриваться как ограничение круга потенциальных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что код позиции КТРУ 81.21.10.000-00000006 предусматривает ОКПД2: «81.22.1: Услуги по промышленной уборке», «81.29.1: Услуги по чистке и уборке прочие», «81.22.11.000: Услуги по мытью окон», «81.21.10.000: Услуги по общей уборке зданий». Соответственно, выбирая КТРУ 81.21.10.000-00000006, заказчик правомерно включил услуги по мытью окон в состав необходимых услуг.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КТРУ 81.21.10.000-00000006 предусматривает соблюдение требований ГОСТ Р 51870-2014 «Услуги профессиональной уборки - клининговые услуги. Общие технические условия».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описанием объекта закупки, услуги оказываются в соответствии с требованиями ГОСТ Р 51870-2014 «Услуги профессиональной уборки - клининговые услуги. Общие технические условия» и другими нормативными документами, предусмотренными Законодательством РФ.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ГОСТ Р 51870-2014 "Услуги профессиональной уборки - клининговые услуги. Общие технические условия" относит услуги по очистке стеклянных поверхностей и фасадные работы к услугам профессиональной уборки.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имеющихся документов и сведений, а также с учетом пояснений представителей Заказчика, Заявителя Комиссия Управления приходит к выводу, что довод жалобы Заявителя в данной части является необоснованным.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формирование объекта закупки, в данной части, обусловлено потребностью Заказчика и не нарушает требования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2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666" w:right="541" w:bottom="807" w:left="1106" w:header="0" w:footer="37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пункту 1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утвержденном постановлением Президиума Верховного Суда Российской Федерации от 28.06.2017, указание заказчиком в аукционной документации особых характеристик товара,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2023-9910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части второго довода, согласно которому документация о закупке содержит неточности и противоречия по объему оказываемых услуг Комиссией Управления установлено следующее: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1 статьи 33 Закона о контрактной системе установлено,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пункта 7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в том числе следующую информацию: информация об объеме (за исключением случая, предусмотренного частью 24 статьи 22 настоящего Федерального закона), о единице измерения (при наличии) и месте выполнения работы или оказания услуги.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описании объекта закупки установлено следующее, в части расходных материалов, используемых при описании услуг:</w:t>
      </w:r>
    </w:p>
    <w:tbl>
      <w:tblPr>
        <w:tblOverlap w:val="never"/>
        <w:jc w:val="center"/>
        <w:tblLayout w:type="fixed"/>
      </w:tblPr>
      <w:tblGrid>
        <w:gridCol w:w="504"/>
        <w:gridCol w:w="2616"/>
        <w:gridCol w:w="2693"/>
        <w:gridCol w:w="4262"/>
      </w:tblGrid>
      <w:tr>
        <w:trPr>
          <w:trHeight w:val="8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№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Наименование расходных материалов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866" w:val="left"/>
                <w:tab w:pos="514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Функциональные,</w:t>
              <w:tab/>
              <w:t>технические,</w:t>
              <w:tab/>
              <w:t>качественные,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эксплуатационные характеристики расходных материалов</w:t>
            </w:r>
          </w:p>
        </w:tc>
      </w:tr>
      <w:tr>
        <w:trPr>
          <w:trHeight w:val="28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Рулонная туалетная бумага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Количество слоев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не менее 2</w:t>
            </w:r>
          </w:p>
        </w:tc>
      </w:tr>
      <w:tr>
        <w:trPr>
          <w:trHeight w:val="29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Состав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переработанное сырье</w:t>
            </w:r>
          </w:p>
        </w:tc>
      </w:tr>
      <w:tr>
        <w:trPr>
          <w:trHeight w:val="28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Цвет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Белый или эквивалент</w:t>
            </w:r>
          </w:p>
        </w:tc>
      </w:tr>
      <w:tr>
        <w:trPr>
          <w:trHeight w:val="56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Мыло жидкое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Состав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Натуральный глицерин, бетаин и антибактериальные добавки</w:t>
            </w:r>
          </w:p>
        </w:tc>
      </w:tr>
      <w:tr>
        <w:trPr>
          <w:trHeight w:val="56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Показатель рН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Нейтральный</w:t>
            </w:r>
          </w:p>
        </w:tc>
      </w:tr>
      <w:tr>
        <w:trPr>
          <w:trHeight w:val="283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Освежитель воздуха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Объем флакона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не менее 300 мл</w:t>
            </w:r>
          </w:p>
        </w:tc>
      </w:tr>
      <w:tr>
        <w:trPr>
          <w:trHeight w:val="28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Тип флакона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Аэрозоль</w:t>
            </w:r>
          </w:p>
        </w:tc>
      </w:tr>
      <w:tr>
        <w:trPr>
          <w:trHeight w:val="8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Дезинфицирующее средство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Состав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5% гипохлорид натрия, неионогенные поверхностно-активные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вещества, мыло, отдушка</w:t>
            </w:r>
          </w:p>
        </w:tc>
      </w:tr>
    </w:tbl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Управления отмечает, что предметом рассматриваемой закупки является услуга. Согласно статье 783 ГК РФ общие положения о подряде (статьи 702 - 729) и положения о бытовом подряде (статьи 730 - 739) применяются к договору возмездного оказания услуг, если это не противоречит статьям 779 - 782 настоящего Кодекса, а также особенностям предмета договора возмездного оказания услуг.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Приложению № 2 к проекту Контракта Исполнитель, на период оказания услуг, обеспечивает наличие расходных материалов, исходя из потребности, указанной в Приложении 2.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статьи 704 ГК РФ если иное не предусмотрено договором подряда, работа выполняется иждивением подрядчика - из его материалов, его силами и средствами.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расходные материалы являются используемыми в рамках оказания услуги товаром.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подано 3 заявки, в том числе заявка Подателя жалобы, цена контракта, предложенная победителем составила 30,5 % от НМЦК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изложенного, на основе всестороннего исследования, оценки конкретных фактических обстоятельств, установленных на заседании и доказательств по делу Комиссия признает жалобу Заявителя 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УФАС, руководствуясь статьей 99, 105, 106 Закона о контрактной системе,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8" w:val="left"/>
        </w:tabs>
        <w:bidi w:val="0"/>
        <w:spacing w:before="0" w:after="0" w:line="240" w:lineRule="auto"/>
        <w:ind w:left="30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«Бизнес-Плюс» на действия ФГБОУВО «СИБИРСКИЙ ГОСУДАРСТВЕННЫЙ МЕДИЦИНСКИЙ УНИВЕРСИТЕТ» МИНИСТЕРСТВА ЗДРАВООХРАНЕНИЯ РОССИЙСКОЙ ФЕДЕРАЦИИ (далее - Заказчик) при осуществлении закупки в форме электронного аукциона «Услуги по уборке помещений: оказание услуг по проведению ежедневной комплексной уборке общежитий СибГМУ №1» (извещение № 0365100014823000747) необоснованной.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65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нарушений Закона о контрактной системе не выявлено.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58" w:val="left"/>
        </w:tabs>
        <w:bidi w:val="0"/>
        <w:spacing w:before="0" w:after="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8" w:val="left"/>
        </w:tabs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Направить материалы дела в органы внутреннего государственного (муниципального) финансового контроля для проведения проверки в части определения и обоснования начальной (максимальной) цены контракта.</w:t>
      </w:r>
      <w:r>
        <w:br w:type="page"/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в установленном законом порядке.</w:t>
      </w:r>
      <w:bookmarkEnd w:id="4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center"/>
      </w:pPr>
      <w:r>
        <w:drawing>
          <wp:anchor distT="0" distB="0" distL="88900" distR="1875155" simplePos="0" relativeHeight="125829380" behindDoc="0" locked="0" layoutInCell="1" allowOverlap="1">
            <wp:simplePos x="0" y="0"/>
            <wp:positionH relativeFrom="page">
              <wp:posOffset>2662555</wp:posOffset>
            </wp:positionH>
            <wp:positionV relativeFrom="paragraph">
              <wp:posOffset>63500</wp:posOffset>
            </wp:positionV>
            <wp:extent cx="347345" cy="39624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05000000000001pt;margin-top:12.200000000000001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А.Ф. Абдурахманов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9E9E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Абдурахманов Азамат Фархадович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1414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1414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00С755ЕЕ55В155С4ЕЕ8Е81СЕС434А4Е9Е0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1414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27.06.2023 </w:t>
      </w:r>
      <w:r>
        <w:rPr>
          <w:rFonts w:ascii="Arial" w:eastAsia="Arial" w:hAnsi="Arial" w:cs="Arial"/>
          <w:color w:val="89898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41414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19.09.2024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1" behindDoc="0" locked="0" layoutInCell="1" allowOverlap="1">
            <wp:simplePos x="0" y="0"/>
            <wp:positionH relativeFrom="page">
              <wp:posOffset>2660015</wp:posOffset>
            </wp:positionH>
            <wp:positionV relativeFrom="paragraph">
              <wp:posOffset>50800</wp:posOffset>
            </wp:positionV>
            <wp:extent cx="353695" cy="53657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450215</wp:posOffset>
                </wp:positionV>
                <wp:extent cx="128651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45000000000002pt;margin-top:35.450000000000003pt;width:101.3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139065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09999999999999pt;margin-top:10.95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М.А.Кобзева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Кобзева Мария Александровна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1414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1414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7С9523Е362Е0П7ААЕЕ07ЕЗО0Е5ЕЕЕ18В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41414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18.07.2023 </w:t>
      </w:r>
      <w:r>
        <w:rPr>
          <w:rFonts w:ascii="Arial" w:eastAsia="Arial" w:hAnsi="Arial" w:cs="Arial"/>
          <w:color w:val="89898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10.10.2024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К.К.Лукьяненок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3740" w:right="0" w:firstLine="0"/>
        <w:jc w:val="left"/>
        <w:rPr>
          <w:sz w:val="11"/>
          <w:szCs w:val="11"/>
        </w:rPr>
      </w:pPr>
      <w:r>
        <w:rPr>
          <w:rFonts w:ascii="Georgia" w:eastAsia="Georgia" w:hAnsi="Georgia" w:cs="Georgia"/>
          <w:color w:val="222222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rFonts w:ascii="Georgia" w:eastAsia="Georgia" w:hAnsi="Georgia" w:cs="Georgia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ЭП, </w:t>
      </w:r>
      <w:r>
        <w:rPr>
          <w:rFonts w:ascii="Georgia" w:eastAsia="Georgia" w:hAnsi="Georgia" w:cs="Georgia"/>
          <w:color w:val="222222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9E9E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Лукьяненок Климентий Константинович </w:t>
      </w:r>
      <w:r>
        <w:rPr>
          <w:rFonts w:ascii="Arial" w:eastAsia="Arial" w:hAnsi="Arial" w:cs="Arial"/>
          <w:color w:val="41414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1414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00АА683Е22890ЕАО641</w: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ВВВВ72249908301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59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с 03.02.2023 </w:t>
      </w:r>
      <w:r>
        <w:rPr>
          <w:rFonts w:ascii="Arial" w:eastAsia="Arial" w:hAnsi="Arial" w:cs="Arial"/>
          <w:color w:val="89898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41414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28.04.2024</w:t>
      </w:r>
    </w:p>
    <w:sectPr>
      <w:headerReference w:type="default" r:id="rId15"/>
      <w:footerReference w:type="default" r:id="rId16"/>
      <w:footnotePr>
        <w:pos w:val="pageBottom"/>
        <w:numFmt w:val="decimal"/>
        <w:numRestart w:val="continuous"/>
      </w:footnotePr>
      <w:pgSz w:w="11900" w:h="16840"/>
      <w:pgMar w:top="1666" w:right="538" w:bottom="1882" w:left="110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2023-9910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050000000000004pt;margin-top:788.7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2023-9910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2023-9910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2023-9910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2023-9910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050000000000004pt;margin-top:788.70000000000005pt;width:51.100000000000001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2023-9910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3933825</wp:posOffset>
              </wp:positionH>
              <wp:positionV relativeFrom="page">
                <wp:posOffset>627380</wp:posOffset>
              </wp:positionV>
              <wp:extent cx="57785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75pt;margin-top:49.399999999999999pt;width:4.5499999999999998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762635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44999999999999pt;margin-top:60.050000000000004pt;width:4.5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3933825</wp:posOffset>
              </wp:positionH>
              <wp:positionV relativeFrom="page">
                <wp:posOffset>627380</wp:posOffset>
              </wp:positionV>
              <wp:extent cx="57785" cy="10668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9.75pt;margin-top:49.399999999999999pt;width:4.5499999999999998pt;height:8.4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4">
    <w:name w:val="Подпись к картинке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29">
    <w:name w:val="Заголовок №3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ind w:firstLine="1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3">
    <w:name w:val="Подпись к картинке"/>
    <w:basedOn w:val="Normal"/>
    <w:link w:val="CharStyle2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28">
    <w:name w:val="Заголовок №3"/>
    <w:basedOn w:val="Normal"/>
    <w:link w:val="CharStyle29"/>
    <w:pPr>
      <w:widowControl w:val="0"/>
      <w:shd w:val="clear" w:color="auto" w:fill="auto"/>
      <w:spacing w:after="960"/>
      <w:ind w:firstLine="580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image" Target="media/image1.jpeg"/><Relationship Id="rId12" Type="http://schemas.openxmlformats.org/officeDocument/2006/relationships/image" Target="media/image1.jpeg" TargetMode="Externa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header" Target="header4.xml"/><Relationship Id="rId16" Type="http://schemas.openxmlformats.org/officeDocument/2006/relationships/footer" Target="footer4.xml"/></Relationships>
</file>