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1о77@1</w:t>
      </w:r>
      <w:r>
        <w:rPr>
          <w:spacing w:val="0"/>
          <w:w w:val="100"/>
          <w:position w:val="0"/>
          <w:u w:val="single"/>
          <w:shd w:val="clear" w:color="auto" w:fill="auto"/>
          <w:vertAlign w:val="superscript"/>
          <w:lang w:val="ru-RU" w:eastAsia="ru-RU" w:bidi="ru-RU"/>
        </w:rPr>
        <w:t>?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а8.еоу.п1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08.12,2023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52481/23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КоVу1^па^Р@е4и.то8.^и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г. Москвы «Школа № 1541»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1541@еди.то8.ги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«Дельта»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57" w:bottom="708" w:left="1140" w:header="0" w:footer="3" w:gutter="0"/>
          <w:pgNumType w:start="1"/>
          <w:cols w:num="2" w:space="112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ооо-4ека-ггп@тай.ги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0" w:bottom="5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077/06/106-16816/2023 о нарушении</w:t>
        <w:br/>
        <w:t>законодательства о контрактной системе</w:t>
        <w:br/>
        <w:t>05.12.2023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г. Москвы «Школа № 1541»: М.В. Львовского (по доверенности №30- 22-Д от 15.06.2022), Г.М. Наркевича ( по доверенности №31-22-Д от 15.06.2022),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«Дельта»: Н.А. Хабиевой (по доверенности №б/н от 30.06.2023),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слушателя ГКУ Дирекция ДОНМ: А.В. Лядухиной,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ООО «Дельта» (далее — Заявитель) на действия государственных заказчиков (далее - Заказчик) при проведении электронных аукционов на право заключения государственных контрактов на поставку канцелярских товаров (скобы, зажимы, степлеры, папки) (Закупки № 0873500000823006380, 0873500000823006614) (далее - аукцион, электронный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вышеуказанных электронных аукционов.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извещений об осуществлении закупки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Пп.1-2 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2023-59164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электронного аукциона от 31.10.2023 №0873500000823006380 предметом закупки является поставка канцелярских товаров (скобы, зажимы, степлеры). При этом объектами закупки являются, в частности, следующие товары: скрепки металлические, количество единиц закупаемого товара — 259; расшиватель для скоб, количество единиц закупаемого товара —215; дырокол, количество единиц закупаемого товара — 125; этикетка самоклеящаяся универсальная, количество единиц закупаемого товара —58 и т.д.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электронного аукциона от 22.11.2023 №0873500000823006614 предметом закупки является поставка канцелярских товаров (папки). При этом объектами закупки являются, в частности, следующие товары: блокнот А4, количество единиц закупаемого товара — 104; ежедневник недатерированный А5, количество единиц закупаемого товара — 79; ножницы, количество единиц закупаемого товара — 481.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количестве (за исключением случая, предусмотренного ч. 24 ст. 22 Закона о контрактной системе),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своих жалоб Заявитель указывает на включение в структурированную форму извещения об осуществлении закупочной процедуры № 0873500000823006380 445 позиций спецификаций при закупки 30 типов товаров, а также на включение в структурированную форму извещения об осуществлении закупочной процедуры № 0873500000823006614 726 позиций при закупки 47 типов товаров, что существенно затрудняет формирование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541" w:bottom="51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2023-59164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на основании ч.1 ст. 25 Закона о контрактной системе проводится совместная закупка. Объёмы закупки определены потребностью образовательных организаций - участников совместной закупки (14 учреждений).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Вследствие чего, указание информации о месте поставки канцелярских товаров является неотъемлемой частью извещения об осуществлении вышеуказанных аукционов, позволяющая достоверно определить объем и место поставки.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контракт по результатам проведения совместного аукциона заключается отдельно с каждым государственным заказчиком. Информация из извещения, а также из структурированной заявки включается в контракт.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об объекте закупки поступают оператору электронной площадки посредством интеграционного взаимодействия с Единой информационной системой. При заполнении структурированной заявки на участие в аукционе участник с учетом функционала ручного ввода имеет возможность указать необходимые сведения об объекте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вместе с тем на заседании Комиссии Управления, а также в составе жалобы не представлены документы и сведения, свидетельствующие об ограничении количества участников закупки, а также о невозможности формирования заявки на участие в данных аукционах,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данных, у Комиссии Управления отсутствуют правовые основания для признания Заказчиков нарушившими требования Закона о контрактной системе, ввиду чего доводы жалоб признанаются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жалобы ООО «Дельта» на действия государственных заказчиков необоснованными.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9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950000000000003pt;margin-top:26.pt;width:145.70000000000002pt;height:19.699999999999999pt;z-index:-125829374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1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805815</wp:posOffset>
                </wp:positionV>
                <wp:extent cx="127698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6.80000000000001pt;margin-top:63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3.19999999999999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2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330200</wp:posOffset>
                </wp:positionV>
                <wp:extent cx="113411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9.40000000000003pt;margin-top:26.pt;width:89.299999999999997pt;height:19.699999999999999pt;z-index:-125829371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D5D5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90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464185</wp:posOffset>
                </wp:positionV>
                <wp:extent cx="1283335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6.80000000000001pt;margin-top:36.550000000000004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3.19999999999999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D5D5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060" w:right="0" w:firstLine="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6.80000000000001pt;margin-top:36.550000000000004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3.19999999999999pt;margin-top:11.85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0Э18Е97ОЕ55В5023ВССО395Е903С1 035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по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2023-59164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2023-59164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2023-59164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2023-59164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272415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21.44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