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4,12.2023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АА/7729/2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070/06/106 1093/2023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"ЕЭТП"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Москва г, ул. Кожевническая, 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14, СТР. 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"Электронные машины" 350059, Краснодарский край,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Краснодар, ул. Ялтинская, д. 14, оф. 408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е1ес1тотка2023@тай.ги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ЗАТО Северск 636000, Томская обл, г. Северск , проспект Коммунистический, 51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656" w:bottom="1231" w:left="1140" w:header="0" w:footer="3" w:gutter="0"/>
          <w:pgNumType w:start="1"/>
          <w:cols w:num="2" w:space="720" w:equalWidth="0">
            <w:col w:w="4214" w:space="1051"/>
            <w:col w:w="483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^е8и^8@8еVе^8кпе^.^и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№070/06/106-1093/2023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1190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6.35000000000002pt;margin-top:1.pt;width:49.70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05.12.2023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110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1003300</wp:posOffset>
                </wp:positionV>
                <wp:extent cx="220980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заместителя руководителя;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00.25pt;margin-top:79.pt;width:174.pt;height:19.900000000000002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заместителя руководителя;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2537460</wp:posOffset>
                </wp:positionH>
                <wp:positionV relativeFrom="paragraph">
                  <wp:posOffset>1422400</wp:posOffset>
                </wp:positionV>
                <wp:extent cx="4675505" cy="8623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75505" cy="862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ведущего специалиста-эксперта отдела контроля органов власти и торгов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отдела контроля органов власти и торгов,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9.80000000000001pt;margin-top:112.pt;width:368.15000000000003pt;height:67.90000000000000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ведущего специалиста-эксперта отдела контроля органов власти и торгов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отдела контроля органов власти и торгов,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1828800</wp:posOffset>
                </wp:positionV>
                <wp:extent cx="133223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Лукьяненка К.К.,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144.pt;width:104.90000000000001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Лукьяненка К.К.,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 Абдурахманова А.Ф., членов комиссии: Кобзевой М.А.,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«Электронные машины» (далее - Заявитель) на действия МБДОУ «Детский сад № 34» (далее - Заказчик) при осуществлении закупки в форме электронного аукциона «Модернизация системы видеонаблюдения в здании МБДОУ "Детский сад № 34" по адресу: Томская область, ЗАТО Северск, п. Самусь, ул. Советская, 5 (корпус 1)» (извещение № 0165300009023000621), при участии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41" w:bottom="1231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ВКС представителя Администрации ЗАТО Северск (далее - Уполномоченное учреждение) Соловцовой М.В. (доверенность № 57 от 27.02.2023), в отсутствие представителей Заявителя, Заказчика, о дате и месте рассмотрения жалобы уведомленных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«Модернизация системы видеонаблюдения в здании МБДОУ "Детский сад № 34" по адресу: Томская область, ЗАТО Северск, п. Самусь, ул. Советская, 5 (корпус 1)» (извещение № 0165300009023000621), нарушающие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 не предусмотрел в техническом задании возможность поставки эквивалентов предполагаемых к закупке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учреждения пояснил, что заказчик определил объект закупки как работы с использованием (применением) товаров (материалов), которые предоставляются подрядчиком. По результатам выполнения работ к бухгалтерскому учету будут приняты не единичные товары, а система видеонаблюдения в целом как единый комплекс конструктивно-сочлененных предметов.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учреждения просит признать жалобу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23.11.2023.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1 017 906,47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«Модернизация системы видеонаблюдения в здании МБДОУ "Детский сад № 34" по адресу: Томская область, ЗАТО Северск, п. Самусь, ул. Советская, 5 (корпус 1)».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4 заявки.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807" w:left="1106" w:header="0" w:footer="3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подпунктом «а» пунктом 1 части 1 статьи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 Допускается использование в описании объекта закупки указания на товарный знак в следующих случаях: сопровождение такого указания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2023-9745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словами «или эквивалент».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33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5.1 Технического задания извещения № 0165300009023000621 предусмотрено, что наименование, объемы и виды работ определен ведомостью объемов работ и локальным сметным расчетом. Локальный сметный расчет, ведомость объемов работ прилагаются отдельными файлами, и являются неотъемлемой частью настоящего описания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документом, содержащим расчет начальной (максимальной) цены контракта, основанием для расчета цены контракта являются локальные сметные расчеты.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ведомости объемов работ № 1 и локальному сметному расчету № 01</w:t>
        <w:softHyphen/>
        <w:t>01-03, к закупке предполагались следующие товары на основании счетов-фактур:</w:t>
      </w:r>
    </w:p>
    <w:tbl>
      <w:tblPr>
        <w:tblOverlap w:val="never"/>
        <w:jc w:val="left"/>
        <w:tblLayout w:type="fixed"/>
      </w:tblPr>
      <w:tblGrid>
        <w:gridCol w:w="672"/>
        <w:gridCol w:w="3278"/>
        <w:gridCol w:w="902"/>
        <w:gridCol w:w="1128"/>
        <w:gridCol w:w="1325"/>
      </w:tblGrid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Кол.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Примечание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274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Раздел 1. Новый раздел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Видеокамера цветная I Н\Уа1с11! )»- !450Е(С) (2,8) уличная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Видеокамера цветная ^8-I253^ внутренняя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Коммутатор П»-М816СгР 16 портовый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Телевизор ЕЕ!) ОЕХР Е32Н7000С черный 32" (81 см)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61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Видеорегистратор 32 канала И»- ^32/'2(С)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Источник бесперебойного питания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Ро«егсош Кар1ог КРТ-2000АР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 ТБ Жесткий диск \Е'Т) Ригр1е ЗигуеШапсе [\Е1 )84РЕЕ/|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Кабель соединительный КРУКОИ НОМ! - Н0М1, 5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Кабель ЕС-ЦЕ004-5Е-РЕ-8ЖБК наружный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1000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1,15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Кабель ЕС-ЦЕ004-5Е-РУС-0У для внутренней прокладки с экраном (ЫеИап)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1000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Полка 19" перфорированная 390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Шкаф (пульт) управления навесной 600x600x350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1349" w:left="11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Томского УФАС России установлено, что описание объекта закупки формировалось посредством конъюнктурного анализа рынка (составлен 03.11.2023) и счетов-фактур (счет-фактура № 834 от 25.10.2023, счет-фактура № 328 от 28.10.2023, счет № 04 от 01.11.2023). Кроме того, согласно пояснениям представителя Уполномоченного учреждения, поставленные товары будут приняты 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бухгалтерскому учету заказчика как система видеонаблюдения как единый комплекс конструктивно-сочлененных предметов. Комиссией исходя из анализа технического задания установлено, что указанные товары не являются строительными и расходными материалы, моющими средства и т.п., используемыми при выполнении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Томского УФАС России приходит к выводу о том, что муниципальный контракт является договором смешанного типа предполагающий поставку товаров и выполнение работ. Вывод о том, что предполагается предварительная поставка товаров, а не закупка исключительно монтажа системы видеонаблюдения, следует из конъюнктурного анализа рынка (составлен 03.11.2023) и счетов-фактур (счет-фактура № 834 от 25.10.2023, счет- фактура № 328 от 28.10.2023, счет № 04 от 01.11.2023), согласно которым Заказчик в том числе исследовал рынок на предмет конкретных товаров, а не исключительно работ по монтажу. Смонтированная из поставленных товаров система принимается к учету в составе единого комплекса системы видеонаблюденеия. Исходя из того, что извещением предполагается поставка товаров, описание объекта закупки с указанием товарных знаков должна сопровождаться формулировкой «или эквивалент».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Действия Заказчика по неуказанию в описании объекта закупки, предполагающего поставку товаров, формулировки «или эквивалент» нарушают попдункт «а» пунктом 1 части 1 статьи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подателя жалобы является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обоснована.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в соответствии с пунктом 1 части 15 статьи 99 Закона о контрактной системе Комиссия Томского УФАС России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п.6 ч.1 ст.42 Закона о контрактной системе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6) информация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пункту 3 части 2 статьи 42 Закона о контрактной системе, извещение о проведении закупки должно содержать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2023-9745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УФАС отмечает,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аукционе. Указывая минимальные, максимальные значения показателей товаров, а также значения показателей товаров, которые не могут изменяться, Заказчик тем самым определяет требования к содержанию заявок.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обеспечения возможности участникам закупки надлежащим образом заполнить заявку и указать требуемые показатели, Заказчик устанавливает в извещении инструкцию по заполнению заявок, в которой целесообразно: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указать на раздел и (или) пункт документации о закупке, в котором содержатся показатели, предусмотренные части 2 статьи 33 Закона 44-ФЗ, в отношении которых участники закупки делают предложение в своих заявках;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Соблюдение данных требований и запретов позволяет потенциальным участникам закупки определить, какие товары удовлетворят потребность Заказчика и какие эквивалентные товары можно предложить к поставке взамен поименованных моделей в техническом задании.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пунктом 2 электронного документа, содержащего требования к составу и содержанию заявки извещения № 0165300009023000621, предусмотрено следующее: «Предложение участника закупки в отношении объекта закупки: 1) документы, подтверждающие соответствие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работе или услуге и представление указанных документов предусмотрено извещением об осуществлении закупки): не предусмотрены.»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извещения № 0165300009023000621, предполагаются поставка отдельных товаров, которые впоследствии должны быть смонтированы как в рамках единой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4" w:right="541" w:bottom="766" w:left="1106" w:header="0" w:footer="33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Комиссия УФАС приходит к выводу о том, что установленная Заказчиком инструкция по заполнению заявки не содержит в себе правила по заполнению заявки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2023-9745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правил указания характеристик поставляемого товара, согласно которому можно было бы определить, какие товары являются эквивалентными указанным в техническом задании. Действия Заказчика по неуказанию в инструкции по заполнению заявки правил заполнения характеристик закупаемых товаров эквивалентных указанным в техническом задании нарушают пункт 3 части 2 статьи 42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указанные действия не повлияли на результаты подведения итогов определения поставщика, предписание выдано не будет.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«Электронные машины» на действия МБДОУ «Детский сад № 34» при осуществлении закупки в форме электронного аукциона «Модернизация системы видеонаблюдения в здании МБДОУ "Детский сад № 34" по адресу: Томская область, ЗАТО Северск, п. Самусь, ул. Советская, 5 (корпус 1)» (извещение № 0165300009023000621)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подпункта «а» пункта 1 части 1 статьи 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в действиях Заказчика установлено нарушение пункта 3 части 2 статьи 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уполномоченному должностному лицу Томского УФАС России для принятия решения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234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7.pt;width:144.pt;height:19.449999999999999pt;z-index:-125829367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8" behindDoc="0" locked="0" layoutInCell="1" allowOverlap="1">
            <wp:simplePos x="0" y="0"/>
            <wp:positionH relativeFrom="page">
              <wp:posOffset>2912110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3369310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5.30000000000001pt;margin-top:4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1.94999999999999pt;margin-top:19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7160" distL="0" distR="0" simplePos="0" relativeHeight="125829389" behindDoc="0" locked="0" layoutInCell="1" allowOverlap="1">
                <wp:simplePos x="0" y="0"/>
                <wp:positionH relativeFrom="page">
                  <wp:posOffset>5307965</wp:posOffset>
                </wp:positionH>
                <wp:positionV relativeFrom="paragraph">
                  <wp:posOffset>339090</wp:posOffset>
                </wp:positionV>
                <wp:extent cx="1530350" cy="2222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17.94999999999999pt;margin-top:26.699999999999999pt;width:120.5pt;height:17.5pt;z-index:-125829364;mso-wrap-distance-left:0;mso-wrap-distance-top:26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0" w:right="0" w:firstLine="0"/>
        <w:jc w:val="both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00С755ЕЕ55В155С4ЕР8Е81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СЕС434А4Е9Е0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27.06.2023 по 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234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9410" distL="0" distR="0" simplePos="0" relativeHeight="12582939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950000000000003pt;margin-top:6.pt;width:105.60000000000001pt;height:19.699999999999999pt;z-index:-125829362;mso-wrap-distance-left:0;mso-wrap-distance-top: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93" behindDoc="0" locked="0" layoutInCell="1" allowOverlap="1">
            <wp:simplePos x="0" y="0"/>
            <wp:positionH relativeFrom="page">
              <wp:posOffset>2912110</wp:posOffset>
            </wp:positionH>
            <wp:positionV relativeFrom="paragraph">
              <wp:posOffset>149225</wp:posOffset>
            </wp:positionV>
            <wp:extent cx="353695" cy="53657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3369310</wp:posOffset>
                </wp:positionH>
                <wp:positionV relativeFrom="paragraph">
                  <wp:posOffset>551815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5.30000000000001pt;margin-top:43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237490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1.94999999999999pt;margin-top:18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9410" distL="0" distR="0" simplePos="0" relativeHeight="125829394" behindDoc="0" locked="0" layoutInCell="1" allowOverlap="1">
                <wp:simplePos x="0" y="0"/>
                <wp:positionH relativeFrom="page">
                  <wp:posOffset>5307965</wp:posOffset>
                </wp:positionH>
                <wp:positionV relativeFrom="paragraph">
                  <wp:posOffset>76200</wp:posOffset>
                </wp:positionV>
                <wp:extent cx="1054735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Кобзева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17.94999999999999pt;margin-top:6.pt;width:83.049999999999997pt;height:19.699999999999999pt;z-index:-125829359;mso-wrap-distance-left:0;mso-wrap-distance-top: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Кобзева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7С9523Е362Е0О7ААЕЕО7ЕЗО0Е5ЕЕЕ18В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1666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18.07.2023 по 10.10.2024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64" w:right="1486" w:bottom="1166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2016" w:h="163" w:wrap="none" w:vAnchor="text" w:hAnchor="page" w:x="5308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rFonts w:ascii="Times New Roman" w:eastAsia="Times New Roman" w:hAnsi="Times New Roman" w:cs="Times New Roman"/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6"/>
        <w:keepNext w:val="0"/>
        <w:keepLines w:val="0"/>
        <w:framePr w:w="2712" w:h="403" w:wrap="none" w:vAnchor="text" w:hAnchor="page" w:x="524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12"/>
        <w:keepNext w:val="0"/>
        <w:keepLines w:val="0"/>
        <w:framePr w:w="2054" w:h="398" w:wrap="none" w:vAnchor="text" w:hAnchor="page" w:x="8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 Лукьяненок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4" behindDoc="1" locked="0" layoutInCell="1" allowOverlap="1">
            <wp:simplePos x="0" y="0"/>
            <wp:positionH relativeFrom="page">
              <wp:posOffset>2912745</wp:posOffset>
            </wp:positionH>
            <wp:positionV relativeFrom="paragraph">
              <wp:posOffset>73025</wp:posOffset>
            </wp:positionV>
            <wp:extent cx="353695" cy="53657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1486" w:bottom="1166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3871" w:bottom="1205" w:left="460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00АА683Е22890РАО641 ВВВВ722499Э8301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0" w:bottom="12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9" w:right="8076" w:bottom="120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2023-9745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2023-9745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2023-9745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88.70000000000005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2023-9745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2023-9745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050000000000004pt;margin-top:788.70000000000005pt;width:50.64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2023-9745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59.800000000000004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59.800000000000004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25pt;margin-top:59.800000000000004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image" Target="media/image1.jpeg"/><Relationship Id="rId15" Type="http://schemas.openxmlformats.org/officeDocument/2006/relationships/image" Target="media/image1.jpeg" TargetMode="External"/><Relationship Id="rId16" Type="http://schemas.openxmlformats.org/officeDocument/2006/relationships/image" Target="media/image2.jpeg"/><Relationship Id="rId17" Type="http://schemas.openxmlformats.org/officeDocument/2006/relationships/image" Target="media/image2.jpeg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3.jpeg" TargetMode="External"/></Relationships>
</file>