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408430" cy="16827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АО «ЕЭТП» ко@го8екогд.ги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АДЕКО ас1е1&lt;олтп@таП.П1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ФГБОУ МГГЭУ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Ьос1го\@1тддеи.П1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10.90000000000001pt;height:132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АО «ЕЭТП» ко@го8екогд.ги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3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АДЕКО ас1е1&lt;олтп@таП.П1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ФГБОУ МГГЭУ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Ьос1го\@1тддеи.П1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8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2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11"/>
        <w:keepNext/>
        <w:keepLines/>
        <w:widowControl w:val="0"/>
        <w:shd w:val="clear" w:color="auto" w:fill="auto"/>
        <w:tabs>
          <w:tab w:pos="1990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52767/23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№077/06/106-17361/2023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06.12.2022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ФГБОУИ ВО МГГЭУ, ООО «Адеко»,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«Адеко» (далее — Заявитель) на действия ФГБОУИ ВО МГГЭУ (далее — Заказчик) при проведении открытого конкурса в электронной форме на право заключения государственного контракта на выполнение комплекса работ по корректировке и согласованию проектно-сметной документации объекта незавершенного строительства - общежития на 450 мест ФГБОУ ИВО «Московский государственный гуманитарно-экономический университет» по адресу: г. Москва, ул. Лосиноостровская, д.49 (Закупка №0373100047723000017) (далее -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21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Комиссией Управления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доводам жалобы положения извещения содержат противоречивую информацию о порядке и сроках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п.10 ч.1 ст.42 Закона о контрактной системе извещение об осуществлении закупки должно содержать информацию о размере аванса (если предусмотрена выплата аванса).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ч.2 ст.42 Закона о контрактной системе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п.1 ч.13 ст.34 Закона о контрактной системе в контракт включаются обязательные условия о порядке и сроках оплаты товара, работы или услуги, в том числе с учетом положений ч.13 ст.37 Закона о контрактной системе,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ст.96 Закона о контрактной системе требования обеспечения гарантийных обязательств. В случае, предусмотренном ч.24 ст.22 Закона о контрактной системе,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 проведении электронного аукциона от 15.11.2023 №0373100047723000017, при исполнении контракта, заключаемого по результатам данной закупочной процедуры, предусмотрена выплата аванса, а именно: «Аванс, % 30.00».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извещение содержит информацию о том, что контракт не разделен на этапы.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019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п. 2.5 проекта государственного контракта установлено следующее: «Заказчик в течение 5 (пяти) рабочих дней с даты подписания акта передачи Подрядчику необходимых данных для исполнения Контракта, выплачивает Подрядчику авансовый платеж в размере 30 % от цены контракта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184" w:val="left"/>
          <w:tab w:leader="underscore" w:pos="9648" w:val="left"/>
          <w:tab w:pos="9758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</w:t>
        <w:tab/>
        <w:t xml:space="preserve">) рублей 00 копеек, в том числе в том числе НДС </w:t>
        <w:tab/>
        <w:tab/>
        <w:t>руб.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06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коп. (в случае если Подрядчик не является плательщиком НДС указывается: «НДС не облагается» и основание).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885" w:val="left"/>
          <w:tab w:pos="3058" w:val="left"/>
          <w:tab w:leader="underscore" w:pos="4435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полном выполнении Подрядчиком этапа работ №1 «Обследование объектов и Изыскательские работы» согласно технического задания и календарного плана, Подрядчик оформляет и предоставляет Заказчику Акт об исполнении 1 этапа Контракта, документацию в соответствии с Техническим заданием (Приложение № 1 к Контракту), а также Акт передачи исключительных прав на результат интеллектуальной деятельности (при необходимости), (Приложение № 4 к Контракту), счет/ и счет-фактуру . Заказчик принимает выполненную работу с отражением информации о фактически принятом количестве услуги в структурированном документе о приемке в ЕИС в течение 20 дней, после чего Заказчик оплачивает выполненные в работы путем перечисления денежных средств на расчетный счет Подрядчика в течение 7 (семи) рабочих дней с момента подписания Заказчиком Документа о приемке и размещения его в единой информационной системе по счету/и счету-фактуре, в размере 4 537 500 (четыре миллиона пятьсот тридцать семь тысяч пятьсот) рублей 00 копеек, в том числе в том числе НДС </w:t>
        <w:tab/>
        <w:tab/>
        <w:t xml:space="preserve">руб. </w:t>
        <w:tab/>
        <w:t>коп. (в случае если Подрядчик не является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плательщиком НДС указывается: «НДС не облагается» и основание).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невыполнении условий Контракта в полном объеме сумма аванса и иных платежей подлежит возврату на счет Заказчика в течение 7 (семи) календарных дней с момента получения Подрядчиком требования от Заказчика».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приложению №1 к Техническому заданию «КАЛЕНДАРНЫЙ ПЛАН» установлено, что выполняемые работы поделены на два этапа: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Этап 1: Обследование объектов, изыскательские работы, выполняемые с С даты заключения контракта до 30.12.2023.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Этап 2: Проектные работы с 30.12.2023 до 31.03.2024; Дизайн-проект интерьеров, государственная экспертиза результатов инженерных изысканий и проектной документации с 31.03.2024 до 31.07.2024.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извещение не содержит указание на авансирование отдельных этапов выполнения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исходя из приложения №5 к проекту государственного контракта «График выполнения работ», следует, что работы по первому этапу начинаются 01.11.2023 и продолжаются до 31.12.2023.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работы по этапам будут оплачиваться отдельно. Также участники закупки должны руководствоваться информацией указанной в Календарном плане.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случае поэтапного выполнения работ извещение должно содержать условие о размере аванса в отношении каждого этапа исполнения контракта в виде процента от размера цены соответствующего этапа. Кроме того, наличие в файлах извещения противоречивой информации относительно начала исполнения контракта вводит участников закупки в заблуждение.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об обоснованности доводов жалобы и о нарушении Заказчиком положений ч.1 ст.34, п.1 ч.13 ст.34 Закона о контрактной системе, что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Согласно доводам жалобы Заказчиком допущены нарушения при формировании извещения о проведения закупочной процедуры.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согласно ч.12.4 ст.48 Градостроительного кодекса Российской Федерации форма задания застройщика или технического заказчика на проектирование объекта капитального строительства, строительство, реконструкция, капитальный ремонт которого осуществляются с привлечением средств бюджетной системы Российской Федерации, устанавливается уполномоченным Правительством Российской Федерации федеральным органом исполнительной власти.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Форма задания на проектирование объекта капитального строительства,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строительство, реконструкция, капитальный ремонт которого осуществляются с привлечением средств бюджетной системы Российской Федерации установлено приказом Минстроя России от 21.04.2022 № 307/пр «Об утверждении Формы задания застройщика или технического заказчика на проектирование объекта капитального строительства, строительство, реконструкция, капитальный ремонт которого осуществляются с привлечением средств бюджетной системы Российской Федерации». Вместе с тем Техническое задание не содержит в себе требований установленным данным приказом.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указывает, что п.11.1 проекта государственного контракта установлено, что Контракт вступает в силу со дня подписания его Сторонами и действует до «30» декабря 2024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Извещении указано следующее: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начала исполнения контракта 14.12.2023 но не ранее даты заключения контракта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окончания исполнения контракта 31.07.2024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однозначной информации о сроке исполнения контракта, не позволяет Участникам определить, на какой срок необходимо предоставить обеспечение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у Заказчика имеется ранее разработанная проектная и рабочая документация, вместе с тем Заказчиком не размещены данные документы в составе извещения, что не позволяет определить условия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доводами жалобы представитель Заказчика указал, что форма задания на проектирование объекта не является Техническим заданием, формируемым государственным заказчиком с учетом положений ст. 33 Закона о контрактной системе. Кроме того, положения Технического задания содержат положения о выполнении работ в соответствии с требования законодательства Российской Федерации, а также исчерпывающий перечень сведений о предмете закупки позволяющий составить коммерческое предложение для участия 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этого представитель Заказчика пояснил, что срок действия контракта, помимо непосредственного выполнения работ включает в себя действия по приемке и оплате выполненных работ, связи с чем сроки указанные в извещении и проекте контракта не противоречат друг другу.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вместе с тем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системе, ввиду чего у Комиссии Управления отсутствуют правовые основания для признания Заказчика нарушившим требования Положения,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на участие в закупке было подано семь заявок, что свидетельствует о том, что обжалуемые положения извещения не препятствуют к участию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необоснованности данных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«Адеко» на действия ФГБОУИ ВО МГГЭУ обоснованной в части установления противоречивых положений относительно авансирования этапов исполнения контракта и сроков начала выполнения работ.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ч.1 ст.34, п.1 ч.13 ст.34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2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4" w:bottom="79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235" distL="0" distR="0" simplePos="0" relativeHeight="125829381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342900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600000000000001pt;margin-top:27.pt;width:145.70000000000002pt;height:19.699999999999999pt;z-index:-125829372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2750" distB="0" distL="0" distR="1789430" simplePos="0" relativeHeight="125829383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412750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815340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80000000000001pt;margin-top:64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504190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19999999999999pt;margin-top:39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235" distL="0" distR="0" simplePos="0" relativeHeight="125829384" behindDoc="0" locked="0" layoutInCell="1" allowOverlap="1">
                <wp:simplePos x="0" y="0"/>
                <wp:positionH relativeFrom="page">
                  <wp:posOffset>6035040</wp:posOffset>
                </wp:positionH>
                <wp:positionV relativeFrom="paragraph">
                  <wp:posOffset>342900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19999999999999pt;margin-top:27.pt;width:93.100000000000009pt;height:19.699999999999999pt;z-index:-125829369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00Е9СРАА6ОО6САО20С424А9502ЕС296Е8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80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19999999999999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6366183222Е5ОСЕ2САЗЕ6Э732820С91С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75pt;margin-top:36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15000000000003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8" w:right="527" w:bottom="149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10311765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2023-59889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811.95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2023-59889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2">
    <w:name w:val="Заголовок №3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4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1980"/>
      <w:ind w:firstLine="1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00"/>
      <w:ind w:firstLine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auto"/>
      <w:spacing w:after="300" w:line="254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