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52748/23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Коновалов К. 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КопоVа1оVРе^т28@уап4еx.^и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«ММКЦ «Коммунарка»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088" w:bottom="621" w:left="1298" w:header="0" w:footer="3" w:gutter="0"/>
          <w:pgNumType w:start="1"/>
          <w:cols w:num="2" w:space="720" w:equalWidth="0">
            <w:col w:w="3806" w:space="1301"/>
            <w:col w:w="440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д1&lt;Ь40)/а1&lt;ир1&lt;1@1паП.П1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077/06/106-17359/2023 о нарушении</w:t>
        <w:br/>
        <w:t>законодательства о контрактной системе</w:t>
        <w:br/>
        <w:t>06.12.2023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5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</w:t>
        <w:tab/>
        <w:t>(посредством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видеоконференцсвязи), 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Коновалов К. А.: Сотникова Д.А. (по доверенности №24 от 01.12.2023),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«ММКЦ «Коммунарка» ДЗМ»: Коржаева А.Е. (по доверенности №22/к — 23д от 25.01.2023), Павлова В. В. (по доверенности №б/н от 09.01.2023),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Коновалов К. А. (далее — Заявитель) на действия ГБУЗ «ММКЦ «Коммунарка» ДЗМ» (далее — Заказчик) при проведении запроса котировок в электронной форме на право заключения контракта на поставку предметных стекол для иммуногистостейнера Коске УеПапа ВепскМагк икга (Закупка №0373200087823001667) (далее — запрос котировок),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 запрашиваемые посредством Единой информационной системы,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Заказчика, выразившиеся в неправомерном отклонении заявки Заявителя.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28.11.2023 №ИЗК1 заявка Заявителя (Идентификационный номер заявки 5) отклонена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ч.12 ст.48 №44-ФЗ - Непредставление информации и документов, предусмотренных извещением об осуществлении закупки в соответствии с Законом №44 ФЗ (за исключением информации и документов, предусмотренных п.2 и 3 ч.6 ст.43 №44 ФЗ), несоответствие таких информации и документов требованиям, установленным в извещении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предлагает к поставке изделия медицинские для лабораторных исследований РУ № РЗН 2015/2954 от 23 августа 2022 года, но согласно представленному информационному письму ООО «Рош Диагностика Рус» (уполномоченный представитель на территории Российской Федерации производителей медицинских изделий для диагностики т «Иго - компаний «Рош Диагностикс ГмбХ», Германия, «Коске Мо1еси1аг ЗуМетв, 1пс.», США и «Уеп1апа МесНссВ ЗуМетв, 1пс.», США, от 30.04.2021 № 0293/30004/2021) для корректной работы иммуностейнера ВеШапа ВепскМагк ОХ, ВеШапа ВепскМагк ХТ и ВеШапа ВепскМагк иЦГКА необходимо использовать только положительно заряженные предметные стекла для микроскопа размером 25 х 75 мм Зирег/гоМ Р1ив (производства Мепге1, США), соответственно предлагаемые изделия не являются совместимыми с иммуногистостейнерами, имеющимся у Заказчика, поскольку отсутствуют в инструкции и не имеют сведений о валидации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6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1" w:bottom="526" w:left="108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2023-59813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Техническом задании установлены характеристики закупаемого изделия «Предметное стекло/слайд для микроскопии ИВД», в частности: «Изделие полностью совместимо с иммуногистостейнером Коске Уеп1апа ВепскМагк 1Л1га, имеющимся у Заказчика».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3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3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3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3" w:val="left"/>
        </w:tabs>
        <w:bidi w:val="0"/>
        <w:spacing w:before="0" w:after="0" w:line="23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3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файле «Требования к содержанию, составу заявки на участие в закупке» Заказчиком установлено требование, что заявка участника закупки должна содержать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документацией о закупке, если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 - Копиями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являются копии регистрационных удостоверений, выданных Федеральной службой по надзору в сфере здравоохранения.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Заявителем в составе заявки представлены характеристики предлагаемого к поставке изделия по п. «Предметное стекло/слайд для микроскопии ИВД», в частности: «Изделие полностью совместимо с иммуногистостейнером Коске Уеп^апа ВепскМагк икга, имеющимся у Заказчика», а также указан товарный знак: С1ТО6КА8.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составе заявки участника закупки представлено регистрационное удостоверение № РЗН 2015/2954 от 23.08.2022 на медицинское изделие «Стекла предметные для микроскопических исследований», производителя «Цитотест Лэбвэа Мэньюфэкчеринг Ко., Лтд», Китай.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согласно информационному письму ООО «Рош Диагностика Рус» (Исх. №0293/3004/2021 от 30.04.2021 г.), которое является уполномоченным представителем на территории Российской Федерации производителей медицинских изделий для диагностики т «Иго — компаний «Рош Диагностикс ГмбХ», Германия, «Коске Мо1еси1аг Зуз^етз, 1пс», США и «Уеп1апа МеШса1 Зуз^етз, 1пс.» США, от 30.04.2021 №0293/30004/2021 информирует о том, что в соответствии с инструкциями по применению к иммуностейнерам автоматическим Уеп1апа ВепскМагк ОХ, Уеп1апа ВепскМагк ХТ и Уеп1апа ВепскМагк иКГКА для корректной работы иммуностейнера необходимо использовать только положительно заряженные предметные стекла для микроскопа размером 25 х 75 мм ВарегГго81 Р1и8 (производства Мепхе1, США). При этом производитель не может нести ответственности за ошибки, вызванные работой с прибором не предусмотренным в инструкции способом, включая использование любых других не положительно заряженных предметных стёкол. Применение стёкол, не одобренных производителем, может повлечь за собой слетание среза с поверхности стекла, частичное или полное отсутствие окраски, фоновое окрашивание и другие проблемы с окраской материала.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представитель Заказчика пояснил, что предложенные в составе заявки Заявителя изделия производителя «Цитотест Лэбвэа Мэньюфэкчеринг Ко., Лтд.», Китай., не являются совместимыми с иммуногистостейнерами Коске Уеп1апа ВепскМагк икга, имеющимся у Заказчика, поскольку отсутствуют в инструкции и не имеют сведений о валидации.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8" w:bottom="1220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обоснованность доводов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Заявитель отмечает, что ООО «Рош Диагностика Рус» является заинтересованным лицом, соответственно, его письма потенциально могут содержать искажённую информацию о совместимости с иными производителями.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указанные выводы не могут быть приняты во внимание, поскольку никто иной как производитель оборудования может информировать о возможной валидации расходных материалов с основным оборудованием.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Закупаемые медицинские изделия при использовании должны обеспечивать совместимость с гарантийным оборудованием, безопасность использования для жизни и здоровья пациента в соответствии с требованиями Федерального закона №323-ФЗ «Об основах охраны здоровья граждан в Российской Федерации» от 21 ноября 2011 года (далее — Закон №323-ФЗ).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3 ст. 38 Закона № 323-ФЗ производитель (изготовитель) медицинского изделия разрабатывает техническую и/или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техническое обслуживание, а также ремонт, утилизация или уничтожение медицинского изделия. Иными словами, использование медицинского изделия допускается строго в соответствии с положениями эксплуатационной документации.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содержанию технической и эксплуатационной документации производителя (изготовителя) медицинского изделия утверждены приказом Минздрава России от 19.01.2017 № 11н. В соответствии с указанными требованиями эксплуатационная документация должна содержать: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принадлежностей, медицинских изделий или изделий, не являющихся медицинскими, но предусмотренных для использования в комбинации с медицинским изделием (при наличии);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расходных материалов (компонентов, реагентов);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информацию, необходимую для идентификации медицинских изделий с целью получения безопасной комбинации;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 об известных ограничениях по совместному использованию медицинских изделий (если медицинские изделия предназначены для использования вместе с другими медицинскими изделиями и/или принадлежностями).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вывод о совместимости предлагаемых к поставке товаров с имеющимся у заказчика медицинским изделием необходимо делать на основании эксплуатационной документации на такое медицинское изделие.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письмам Росздравнадзора от 22.06.2017 № 04-31270/17 и от 05.02.2016 №09-С-571-14114 указывается на то, что совместная эксплуатация отдельно зарегистрированных медицинских изделий одного производителя и принадлежностей (в том числе и расходных материалов) другого, возможна при условии указания в документации производителя, возможности совместного использования и подтверждения результатами экспертиз качества, эффективности и безопасности медицинских изделий, в том числе в комплекте регистрационной документации.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2023-59813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Совместное применение таких изделий без проведения экспертиз на совместимость может привести к причинению вреда жизни и здоровью граждан и медицинских работников.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ч.2 ст.50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пп.1-8 ч.12 ст.48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Заказчика имелись основания для признания заявки Заявителя несоответствующей, и решение комиссии Заказчика в части отклонения заявки Заявителя является правомерным.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также указывает, что принятое комиссией Заказчика решение об отклонении заявки Заявителя является неправомерным и нарушает права законные интересы Заявителя, так как Заказчиком не приложено к протоколу подведения итогов определения поставщика (подрядчика, исполнителя) от 28.11.2023 №ИЗК1 письмо ООО «Рош Диагностика Рус» от 30.04.2021 г. №0293/30004/2021. При этом в открытом доступе данное письмо отсутствует.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3 ст. 50 Закона о контрактной системе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пп. 1, 2, 4 - 7 ч. 17 ст.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согласно ч.17 ст.48 Закона о контрактной системе протокол подведения итогов определения поставщика (подрядчика, исполнителя) должен содержать: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дату подведения итогов определения поставщика (подрядчика, исполнителя), идентификационные номера заявок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Законом о контрактной системе, с обоснованием такого решения и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присвоенные заявкам на участие в закупке, первые и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порядковые номера, присвоенные в соответствии с настоящим Федеральным законом заявкам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заключении контракта по цене, увеличенной в соответствии со статьями 28 и 29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решении каждого члена комиссии по осуществлению закупок в отношении каждой заявки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признании определения поставщика (подрядчика, исполнителя) несостоявшимся в случаях, предусмотренных пп. 1 - 4 ч. 1 ст. 52 Закона о контрактной системе.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протокол подведения итогов определения поставщика (подрядчика, исполнителя) содержит исчерпывающую информацию и не противоречит требованиям п. 2 ч. 3 ст. 50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6"/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ИП Коновалов К. А. на действия комиссии ГБУЗ «ММКЦ «Коммунарка» ДЗМ» необоснованной.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92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4" w:bottom="1253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9410" distL="0" distR="0" simplePos="0" relativeHeight="125829378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600000000000001pt;margin-top:10.pt;width:145.70000000000002pt;height:19.699999999999999pt;z-index:-125829375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0" behindDoc="0" locked="0" layoutInCell="1" allowOverlap="1">
            <wp:simplePos x="0" y="0"/>
            <wp:positionH relativeFrom="page">
              <wp:posOffset>2978150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3435350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0.5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3392805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67.14999999999998pt;margin-top:22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9410" distL="0" distR="0" simplePos="0" relativeHeight="125829381" behindDoc="0" locked="0" layoutInCell="1" allowOverlap="1">
                <wp:simplePos x="0" y="0"/>
                <wp:positionH relativeFrom="page">
                  <wp:posOffset>6007735</wp:posOffset>
                </wp:positionH>
                <wp:positionV relativeFrom="paragraph">
                  <wp:posOffset>127000</wp:posOffset>
                </wp:positionV>
                <wp:extent cx="1167130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73.05000000000001pt;margin-top:10.pt;width:91.900000000000006pt;height:19.699999999999999pt;z-index:-125829372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00Е9СЕАА6ОВ6САВ20В424А9502ЕС296Е8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274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77800" distB="356870" distL="0" distR="0" simplePos="0" relativeHeight="125829383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177800</wp:posOffset>
                </wp:positionV>
                <wp:extent cx="1371600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57.600000000000001pt;margin-top:14.pt;width:108.pt;height:19.900000000000002pt;z-index:-125829370;mso-wrap-distance-left:0;mso-wrap-distance-top:14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0825" distB="0" distL="0" distR="1786255" simplePos="0" relativeHeight="125829385" behindDoc="0" locked="0" layoutInCell="1" allowOverlap="1">
            <wp:simplePos x="0" y="0"/>
            <wp:positionH relativeFrom="page">
              <wp:posOffset>2978150</wp:posOffset>
            </wp:positionH>
            <wp:positionV relativeFrom="paragraph">
              <wp:posOffset>250825</wp:posOffset>
            </wp:positionV>
            <wp:extent cx="353695" cy="536575"/>
            <wp:wrapTopAndBottom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3435350</wp:posOffset>
                </wp:positionH>
                <wp:positionV relativeFrom="paragraph">
                  <wp:posOffset>653415</wp:posOffset>
                </wp:positionV>
                <wp:extent cx="1283335" cy="1035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0.5pt;margin-top:51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3392805</wp:posOffset>
                </wp:positionH>
                <wp:positionV relativeFrom="paragraph">
                  <wp:posOffset>342265</wp:posOffset>
                </wp:positionV>
                <wp:extent cx="1722120" cy="2559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67.14999999999998pt;margin-top:26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77800" distB="356870" distL="0" distR="0" simplePos="0" relativeHeight="125829386" behindDoc="0" locked="0" layoutInCell="1" allowOverlap="1">
                <wp:simplePos x="0" y="0"/>
                <wp:positionH relativeFrom="page">
                  <wp:posOffset>5876290</wp:posOffset>
                </wp:positionH>
                <wp:positionV relativeFrom="paragraph">
                  <wp:posOffset>177800</wp:posOffset>
                </wp:positionV>
                <wp:extent cx="1292225" cy="25273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62.69999999999999pt;margin-top:14.pt;width:101.75pt;height:19.900000000000002pt;z-index:-125829367;mso-wrap-distance-left:0;mso-wrap-distance-top:14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1E1E1E"/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E1E1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2977515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3434715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0.44999999999999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3392170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67.10000000000002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2023-59813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2023-59813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2023-59813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850000000000001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2023-59813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2023-59813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6.850000000000001pt;margin-top:794.70000000000005pt;width:56.8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2023-59813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44999999999999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0000000000002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44999999999999pt;margin-top:16.550000000000001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10000000000002pt;margin-top:37.5pt;width:4.5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Заголовок №3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E1E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Заголовок №3"/>
    <w:basedOn w:val="Normal"/>
    <w:link w:val="CharStyle18"/>
    <w:pPr>
      <w:widowControl w:val="0"/>
      <w:shd w:val="clear" w:color="auto" w:fill="auto"/>
      <w:spacing w:after="28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E1E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6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Павлов Владимир Вячеславович</dc:creator>
  <cp:keywords/>
</cp:coreProperties>
</file>