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Красноярскому краю</w:t>
      </w:r>
    </w:p>
    <w:p>
      <w:pPr>
        <w:pStyle w:val="Style5"/>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пр. Мира, 81 д, г. Красноярск, 660017</w:t>
        <w:br/>
        <w:t>тел. (391) 211-00-00, факс (391) 211-01-14</w:t>
        <w:br/>
        <w:t>е-таП: 1о24й</w:t>
      </w:r>
      <w:r>
        <w:rPr>
          <w:spacing w:val="0"/>
          <w:w w:val="100"/>
          <w:position w:val="0"/>
          <w:shd w:val="clear" w:color="auto" w:fill="auto"/>
          <w:vertAlign w:val="subscript"/>
          <w:lang w:val="ru-RU" w:eastAsia="ru-RU" w:bidi="ru-RU"/>
        </w:rPr>
        <w:t>;</w:t>
      </w:r>
      <w:r>
        <w:rPr>
          <w:spacing w:val="0"/>
          <w:w w:val="100"/>
          <w:position w:val="0"/>
          <w:shd w:val="clear" w:color="auto" w:fill="auto"/>
          <w:lang w:val="ru-RU" w:eastAsia="ru-RU" w:bidi="ru-RU"/>
        </w:rPr>
        <w:t>Таа.ао\'.ги</w:t>
      </w:r>
    </w:p>
    <w:p>
      <w:pPr>
        <w:pStyle w:val="Style8"/>
        <w:keepNext w:val="0"/>
        <w:keepLines w:val="0"/>
        <w:widowControl w:val="0"/>
        <w:shd w:val="clear" w:color="auto" w:fill="auto"/>
        <w:tabs>
          <w:tab w:leader="underscore" w:pos="1762" w:val="left"/>
          <w:tab w:leader="underscore" w:pos="3926" w:val="left"/>
        </w:tabs>
        <w:bidi w:val="0"/>
        <w:spacing w:before="0" w:after="240" w:line="264" w:lineRule="auto"/>
        <w:ind w:left="0" w:right="0" w:firstLine="0"/>
        <w:jc w:val="both"/>
        <w:rPr>
          <w:sz w:val="18"/>
          <w:szCs w:val="18"/>
        </w:rPr>
      </w:pPr>
      <w:r>
        <w:rPr>
          <w:b w:val="0"/>
          <w:bCs w:val="0"/>
          <w:spacing w:val="0"/>
          <w:w w:val="100"/>
          <w:position w:val="0"/>
          <w:sz w:val="18"/>
          <w:szCs w:val="18"/>
          <w:shd w:val="clear" w:color="auto" w:fill="auto"/>
          <w:lang w:val="ru-RU" w:eastAsia="ru-RU" w:bidi="ru-RU"/>
        </w:rPr>
        <w:tab/>
        <w:t xml:space="preserve"> №</w:t>
        <w:tab/>
      </w:r>
    </w:p>
    <w:p>
      <w:pPr>
        <w:pStyle w:val="Style1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  от</w:t>
      </w:r>
    </w:p>
    <w:p>
      <w:pPr>
        <w:widowControl w:val="0"/>
        <w:jc w:val="center"/>
        <w:rPr>
          <w:sz w:val="2"/>
          <w:szCs w:val="2"/>
        </w:rPr>
      </w:pPr>
      <w:r>
        <w:drawing>
          <wp:inline>
            <wp:extent cx="2597150" cy="1828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182880"/>
                    </a:xfrm>
                    <a:prstGeom prst="rect"/>
                  </pic:spPr>
                </pic:pic>
              </a:graphicData>
            </a:graphic>
          </wp:inline>
        </w:drawing>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ООО «Стейн»</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ул. Котельническая, д. 21, помещ. 38н, г.</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Москва, 115172</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81еуп.ооо@таП.ш</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МКУ «УДИБ»</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ул. Можайского, д. 11, г. Красноярск, 660041</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рпетиШЬ@таП.ш</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Департамент муниципального заказа</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Администрации г. Красноярска</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ул. Карла Маркса, 93, Красноярск, 660049</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хаках7@адткг8к.ш</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ООО «РТС-тендер»</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121151, г. Москва, набережная Тараса</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Шевченко, д.23-А</w:t>
      </w:r>
    </w:p>
    <w:p>
      <w:pPr>
        <w:pStyle w:val="Style13"/>
        <w:keepNext w:val="0"/>
        <w:keepLines w:val="0"/>
        <w:widowControl w:val="0"/>
        <w:shd w:val="clear" w:color="auto" w:fill="auto"/>
        <w:bidi w:val="0"/>
        <w:spacing w:before="0" w:after="0" w:line="240" w:lineRule="auto"/>
        <w:ind w:left="0" w:right="0" w:firstLine="0"/>
        <w:jc w:val="left"/>
        <w:sectPr>
          <w:footerReference w:type="default" r:id="rId9"/>
          <w:footerReference w:type="first" r:id="rId10"/>
          <w:footnotePr>
            <w:pos w:val="pageBottom"/>
            <w:numFmt w:val="decimal"/>
            <w:numRestart w:val="continuous"/>
          </w:footnotePr>
          <w:pgSz w:w="11900" w:h="16840"/>
          <w:pgMar w:top="284" w:right="901" w:bottom="1217" w:left="1140" w:header="0" w:footer="3" w:gutter="0"/>
          <w:pgNumType w:start="1"/>
          <w:cols w:num="2" w:space="720" w:equalWidth="0">
            <w:col w:w="4090" w:space="1176"/>
            <w:col w:w="4594"/>
          </w:cols>
          <w:noEndnote/>
          <w:titlePg/>
          <w:rtlGutter w:val="0"/>
          <w:docGrid w:linePitch="360"/>
        </w:sectPr>
      </w:pPr>
      <w:r>
        <w:rPr>
          <w:color w:val="000000"/>
          <w:spacing w:val="0"/>
          <w:w w:val="100"/>
          <w:position w:val="0"/>
          <w:sz w:val="24"/>
          <w:szCs w:val="24"/>
          <w:shd w:val="clear" w:color="auto" w:fill="auto"/>
          <w:lang w:val="ru-RU" w:eastAsia="ru-RU" w:bidi="ru-RU"/>
        </w:rPr>
        <w:t>ко@118-1епдег.ш; тГо@1Д8-1епдег.ш</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2" w:after="32" w:line="240" w:lineRule="exact"/>
        <w:rPr>
          <w:sz w:val="19"/>
          <w:szCs w:val="19"/>
        </w:rPr>
      </w:pPr>
    </w:p>
    <w:p>
      <w:pPr>
        <w:widowControl w:val="0"/>
        <w:spacing w:line="1" w:lineRule="exact"/>
        <w:sectPr>
          <w:footnotePr>
            <w:pos w:val="pageBottom"/>
            <w:numFmt w:val="decimal"/>
            <w:numRestart w:val="continuous"/>
          </w:footnotePr>
          <w:type w:val="continuous"/>
          <w:pgSz w:w="11900" w:h="16840"/>
          <w:pgMar w:top="322" w:right="0" w:bottom="1179" w:left="0" w:header="0" w:footer="3" w:gutter="0"/>
          <w:cols w:space="720"/>
          <w:noEndnote/>
          <w:rtlGutter w:val="0"/>
          <w:docGrid w:linePitch="360"/>
        </w:sectPr>
      </w:pPr>
    </w:p>
    <w:p>
      <w:pPr>
        <w:pStyle w:val="Style13"/>
        <w:keepNext w:val="0"/>
        <w:keepLines w:val="0"/>
        <w:widowControl w:val="0"/>
        <w:shd w:val="clear" w:color="auto" w:fill="auto"/>
        <w:bidi w:val="0"/>
        <w:spacing w:before="0" w:after="0" w:line="240" w:lineRule="auto"/>
        <w:ind w:left="0" w:right="0" w:firstLine="0"/>
        <w:jc w:val="center"/>
      </w:pPr>
      <w:r>
        <mc:AlternateContent>
          <mc:Choice Requires="wps">
            <w:drawing>
              <wp:anchor distT="0" distB="0" distL="114300" distR="114300" simplePos="0" relativeHeight="125829378" behindDoc="0" locked="0" layoutInCell="1" allowOverlap="1">
                <wp:simplePos x="0" y="0"/>
                <wp:positionH relativeFrom="page">
                  <wp:posOffset>6292215</wp:posOffset>
                </wp:positionH>
                <wp:positionV relativeFrom="paragraph">
                  <wp:posOffset>177800</wp:posOffset>
                </wp:positionV>
                <wp:extent cx="905510" cy="210185"/>
                <wp:wrapSquare wrapText="left"/>
                <wp:docPr id="7" name="Shape 7"/>
                <a:graphic xmlns:a="http://schemas.openxmlformats.org/drawingml/2006/main">
                  <a:graphicData uri="http://schemas.microsoft.com/office/word/2010/wordprocessingShape">
                    <wps:wsp>
                      <wps:cNvSpPr txBox="1"/>
                      <wps:spPr>
                        <a:xfrm>
                          <a:ext cx="905510" cy="21018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 Красноярск</w:t>
                            </w:r>
                          </w:p>
                        </w:txbxContent>
                      </wps:txbx>
                      <wps:bodyPr wrap="none" lIns="0" tIns="0" rIns="0" bIns="0">
                        <a:noAutoFit/>
                      </wps:bodyPr>
                    </wps:wsp>
                  </a:graphicData>
                </a:graphic>
              </wp:anchor>
            </w:drawing>
          </mc:Choice>
          <mc:Fallback>
            <w:pict>
              <v:shape id="_x0000_s1033" type="#_x0000_t202" style="position:absolute;margin-left:495.44999999999999pt;margin-top:14.pt;width:71.299999999999997pt;height:16.550000000000001pt;z-index:-125829375;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 Красноярск</w:t>
                      </w:r>
                    </w:p>
                  </w:txbxContent>
                </v:textbox>
                <w10:wrap type="square" side="left" anchorx="page"/>
              </v:shape>
            </w:pict>
          </mc:Fallback>
        </mc:AlternateContent>
      </w:r>
      <w:r>
        <w:rPr>
          <w:color w:val="000000"/>
          <w:spacing w:val="0"/>
          <w:w w:val="100"/>
          <w:position w:val="0"/>
          <w:sz w:val="24"/>
          <w:szCs w:val="24"/>
          <w:shd w:val="clear" w:color="auto" w:fill="auto"/>
          <w:lang w:val="ru-RU" w:eastAsia="ru-RU" w:bidi="ru-RU"/>
        </w:rPr>
        <w:t>РЕШЕНИЕ № 024/06/106-3473/2023</w:t>
      </w:r>
    </w:p>
    <w:p>
      <w:pPr>
        <w:pStyle w:val="Style13"/>
        <w:keepNext w:val="0"/>
        <w:keepLines w:val="0"/>
        <w:widowControl w:val="0"/>
        <w:shd w:val="clear" w:color="auto" w:fill="auto"/>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06 декабря 2023 года</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Комиссия Красноярского УФАС России по контролю в сфере закупок в составе: Заместитель руководителя — начальник аналитического отдела М.А. Дударева, члены Комиссии - начальник отдела М.А. Грицай, главный специалист- эксперт Е.О. Хорышев (далее - Комиссия), рассмотрев жалобу ООО «Стейн» (далее - податель жалобы) на действия заказчика - МКУ «Управление дорог, инфраструктуры и благоустройства» (далее — заказчик), уполномоченного органа - Департамента муниципального заказа Администрации г. Красноярска (далее — уполномоченный орган) при определении поставщика (подрядчика, исполнителя) путем проведения аукциона в электронной форме «Оказание услуг по содержанию платных парковочных пространств в городе Красноярске в 2024 году», размещенного на электронной площадке ООО «РТС-тендер» (далее - оператор электронной площадки), установила следующее.</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адрес Красноярского УФАС России поступила жалоба ООО «Стейн» на действия заказчика, уполномоченного органа при определении поставщика (подрядчика, исполнителя) путем проведения электронного аукциона в электронной форме «Оказание услуг по содержанию платных парковочных пространств в городе Красноярске в 2024 году», номер извещения № 0119300019823001916.</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Существо жалобы: составление извещения с нарушением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Жалоба поступила в адрес Красноярского УФАС России в срок, установленный частью 2 статьи 105 Закона о контрактной системе, соответствовала требованиям части 4 статьи 105 указанного закона, в связи с чем была принята к рассмотрению по существу.</w:t>
      </w:r>
    </w:p>
    <w:p>
      <w:pPr>
        <w:pStyle w:val="Style13"/>
        <w:keepNext w:val="0"/>
        <w:keepLines w:val="0"/>
        <w:widowControl w:val="0"/>
        <w:shd w:val="clear" w:color="auto" w:fill="auto"/>
        <w:bidi w:val="0"/>
        <w:spacing w:before="0" w:after="380" w:line="240" w:lineRule="auto"/>
        <w:ind w:left="0" w:right="0" w:firstLine="760"/>
        <w:jc w:val="both"/>
      </w:pPr>
      <w:r>
        <w:rPr>
          <w:color w:val="000000"/>
          <w:spacing w:val="0"/>
          <w:w w:val="100"/>
          <w:position w:val="0"/>
          <w:sz w:val="24"/>
          <w:szCs w:val="24"/>
          <w:shd w:val="clear" w:color="auto" w:fill="auto"/>
          <w:lang w:val="ru-RU" w:eastAsia="ru-RU" w:bidi="ru-RU"/>
        </w:rPr>
        <w:t>В адреса подателя жалобы, заказчика, оператора электронной площадки было направлено уведомление о содержании жалобы с информацией о месте и времени ее рассмотрения.</w:t>
      </w:r>
    </w:p>
    <w:p>
      <w:pPr>
        <w:pStyle w:val="Style15"/>
        <w:keepNext/>
        <w:keepLines/>
        <w:widowControl w:val="0"/>
        <w:shd w:val="clear" w:color="auto" w:fill="auto"/>
        <w:bidi w:val="0"/>
        <w:spacing w:before="0" w:line="240" w:lineRule="auto"/>
        <w:ind w:left="0" w:right="0" w:firstLine="0"/>
        <w:jc w:val="both"/>
      </w:pPr>
      <w:bookmarkStart w:id="0" w:name="bookmark0"/>
      <w:r>
        <w:rPr>
          <w:color w:val="000000"/>
          <w:spacing w:val="0"/>
          <w:w w:val="100"/>
          <w:position w:val="0"/>
          <w:shd w:val="clear" w:color="auto" w:fill="auto"/>
          <w:lang w:val="ru-RU" w:eastAsia="ru-RU" w:bidi="ru-RU"/>
        </w:rPr>
        <w:t>||||||||||||||||||||||||</w:t>
      </w:r>
      <w:bookmarkEnd w:id="0"/>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Заказчику, уполномоченному органу было предложено предоставить в адрес Красноярского УФАС России документы и сведения, необходимые для рассмотрения жалобы по существу.</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назначенное время 06.12.2023 в 14:30 на заседании Комиссии заказчик и уполномоченный орган обеспечили явку своих представителей, должным образом подтвердивших свои полномочия и личность. Податель жалобы явку своего представителя не обеспечил, ходатайств не направлял.</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Из содержания жалобы следует, что заказчиком нарушены положения статьи 42 Закона о контрактной системе, поскольку в извещении неправомерно установлены дополнительные требования в соответствии с позицией 18 приложения к Постановлению Правительства РФ от 29.12.2021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(далее - Постановление Правительства №2571).</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Рассмотрев существо жалобы,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связи с возникшей потребностью, заказчиком были совершены действия по определению поставщика (подрядчика, исполнителя) путем проведения электронного аукциона на оказание услуг по содержанию платных парковочных пространств в городе Красноярске в 2024 году.</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том числе в части планирования закупок товаров, работ, услуг, а также определения поставщиков (подрядчиков, исполнителей) являются предметом правового регулирования Закона о контрактной системе (пункты 1, 2 части 1 статьи 1).</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Как установлено в пункте 12 части 1 статьи 42 Закона о контрактной системе извещение о проведении закупки должно содержать требования, предъявляемые к участникам закупки, в том числе в соответствии с частью 2 статьи 31 Закон о контрактной системе.</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силу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w:t>
      </w:r>
    </w:p>
    <w:p>
      <w:pPr>
        <w:pStyle w:val="Style13"/>
        <w:keepNext w:val="0"/>
        <w:keepLines w:val="0"/>
        <w:widowControl w:val="0"/>
        <w:numPr>
          <w:ilvl w:val="0"/>
          <w:numId w:val="1"/>
        </w:numPr>
        <w:shd w:val="clear" w:color="auto" w:fill="auto"/>
        <w:tabs>
          <w:tab w:pos="1080"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финансовых ресурсов для исполнения контракта;</w:t>
      </w:r>
    </w:p>
    <w:p>
      <w:pPr>
        <w:pStyle w:val="Style13"/>
        <w:keepNext w:val="0"/>
        <w:keepLines w:val="0"/>
        <w:widowControl w:val="0"/>
        <w:numPr>
          <w:ilvl w:val="0"/>
          <w:numId w:val="1"/>
        </w:numPr>
        <w:shd w:val="clear" w:color="auto" w:fill="auto"/>
        <w:tabs>
          <w:tab w:pos="1080"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на праве собственности или ином законном основании оборудования и других материальных ресурсов для исполнения контракта;</w:t>
      </w:r>
    </w:p>
    <w:p>
      <w:pPr>
        <w:pStyle w:val="Style13"/>
        <w:keepNext w:val="0"/>
        <w:keepLines w:val="0"/>
        <w:widowControl w:val="0"/>
        <w:numPr>
          <w:ilvl w:val="0"/>
          <w:numId w:val="1"/>
        </w:numPr>
        <w:shd w:val="clear" w:color="auto" w:fill="auto"/>
        <w:tabs>
          <w:tab w:pos="1090"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опыта работы, связанного с предметом контракта, и деловой репутации;</w:t>
      </w:r>
    </w:p>
    <w:p>
      <w:pPr>
        <w:pStyle w:val="Style13"/>
        <w:keepNext w:val="0"/>
        <w:keepLines w:val="0"/>
        <w:widowControl w:val="0"/>
        <w:numPr>
          <w:ilvl w:val="0"/>
          <w:numId w:val="1"/>
        </w:numPr>
        <w:shd w:val="clear" w:color="auto" w:fill="auto"/>
        <w:tabs>
          <w:tab w:pos="1080"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необходимого количества специалистов и иных работников определенного уровня квалификации для исполнения контракта.</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С целью реализации требований, установленных, в том числе частью 2 статьи 31 Закона о контрактной системе, Правительством РФ было издано Постановление от 29.12.2021 № 2571, из системного толкования положений которого (в том числе, учитывая содержание Позиции 18 раздела II приложения к Постановлению № 2571) следует, что для участия в закупке на выполнение работ ремонту, содержанию автомобильной дороги, участнику закупки необходим:</w:t>
      </w:r>
    </w:p>
    <w:p>
      <w:pPr>
        <w:pStyle w:val="Style13"/>
        <w:keepNext w:val="0"/>
        <w:keepLines w:val="0"/>
        <w:widowControl w:val="0"/>
        <w:numPr>
          <w:ilvl w:val="0"/>
          <w:numId w:val="3"/>
        </w:numPr>
        <w:shd w:val="clear" w:color="auto" w:fill="auto"/>
        <w:tabs>
          <w:tab w:pos="1080"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опыт исполнения договора, предусматривающего выполнение работ по ремонту, содержанию автомобильной дороги;</w:t>
      </w:r>
    </w:p>
    <w:p>
      <w:pPr>
        <w:pStyle w:val="Style13"/>
        <w:keepNext w:val="0"/>
        <w:keepLines w:val="0"/>
        <w:widowControl w:val="0"/>
        <w:numPr>
          <w:ilvl w:val="0"/>
          <w:numId w:val="3"/>
        </w:numPr>
        <w:shd w:val="clear" w:color="auto" w:fill="auto"/>
        <w:tabs>
          <w:tab w:pos="1080"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опыт исполнения договора, предусматривающего выполнение работ по капитальному ремонту автомобильной дороги;</w:t>
      </w:r>
    </w:p>
    <w:p>
      <w:pPr>
        <w:pStyle w:val="Style13"/>
        <w:keepNext w:val="0"/>
        <w:keepLines w:val="0"/>
        <w:widowControl w:val="0"/>
        <w:numPr>
          <w:ilvl w:val="0"/>
          <w:numId w:val="3"/>
        </w:numPr>
        <w:shd w:val="clear" w:color="auto" w:fill="auto"/>
        <w:tabs>
          <w:tab w:pos="1080"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опыт исполнения договора строительного подряда, предусматривающего выполнение работ по строительству, реконструкции автомобильной дороги;</w:t>
      </w:r>
    </w:p>
    <w:p>
      <w:pPr>
        <w:pStyle w:val="Style13"/>
        <w:keepNext w:val="0"/>
        <w:keepLines w:val="0"/>
        <w:widowControl w:val="0"/>
        <w:numPr>
          <w:ilvl w:val="0"/>
          <w:numId w:val="3"/>
        </w:numPr>
        <w:shd w:val="clear" w:color="auto" w:fill="auto"/>
        <w:tabs>
          <w:tab w:pos="1117"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опыт выполнения участником закупки, являющимся застройщиком, работ по строительству, реконструкции автомобильной дороги.</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Цена выполненных работ по договорам, предусмотренным пунктами 1, 2 или 3 настоящей графы настоящей позиции, цена выполненных работ, предусмотренных пунктом 4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При этом в соответствии с подпунктом «а» пункта 3 Постановления № 2571 позиции 6 - 13, 17 и 18 приложения 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pPr>
        <w:pStyle w:val="Style13"/>
        <w:keepNext w:val="0"/>
        <w:keepLines w:val="0"/>
        <w:widowControl w:val="0"/>
        <w:shd w:val="clear" w:color="auto" w:fill="auto"/>
        <w:bidi w:val="0"/>
        <w:spacing w:before="0" w:after="0" w:line="240" w:lineRule="auto"/>
        <w:ind w:left="0" w:right="0" w:firstLine="840"/>
        <w:jc w:val="both"/>
      </w:pPr>
      <w:r>
        <w:rPr>
          <w:color w:val="000000"/>
          <w:spacing w:val="0"/>
          <w:w w:val="100"/>
          <w:position w:val="0"/>
          <w:sz w:val="24"/>
          <w:szCs w:val="24"/>
          <w:shd w:val="clear" w:color="auto" w:fill="auto"/>
          <w:lang w:val="ru-RU" w:eastAsia="ru-RU" w:bidi="ru-RU"/>
        </w:rPr>
        <w:t>Согласно подпункту «б» пункта 3 Постановления № 2571 договором, предусмотренным пунктами 1 и 2 позиции 15 приложения в графе «Дополнительные требования к участникам закупки», считается контракт, заключенный и исполненный в соответствии с Законом о контрактной системе, либо договор, заключенный и исполненный в соответствии с Федеральным законом «О закупках товаров, работ, услуг отдельными видами юридических лиц».</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Согласно статье 3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(далее — закон №257) автомобильная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 xml:space="preserve">Согласно пункту 5 статьи 3 Закона №257 элементы обустройства автомобильных дорог - сооружения, к которым относятся дорожные знаки, дорожные ограждения, светофоры, устройства для регулирования дорожного движения, работающие в автоматическом режиме специальные технические средства, имеющие функции фото- и киносъемки, видеозаписи для фиксации нарушений правил дорожного движения, сохранности автомобильных дорог и сбора 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 места отдыха, остановочные пункты, объекты, предназначенные для освещения автомобильных дорог, пешеходные дорожки, пункты весового и габаритного контроля транспортных средств, пункты взимания платы, </w:t>
      </w:r>
      <w:r>
        <w:rPr>
          <w:b/>
          <w:bCs/>
          <w:color w:val="000000"/>
          <w:spacing w:val="0"/>
          <w:w w:val="100"/>
          <w:position w:val="0"/>
          <w:sz w:val="24"/>
          <w:szCs w:val="24"/>
          <w:shd w:val="clear" w:color="auto" w:fill="auto"/>
          <w:lang w:val="ru-RU" w:eastAsia="ru-RU" w:bidi="ru-RU"/>
        </w:rPr>
        <w:t>стоянки (парковки) транспортных средств</w:t>
      </w:r>
      <w:r>
        <w:rPr>
          <w:color w:val="000000"/>
          <w:spacing w:val="0"/>
          <w:w w:val="100"/>
          <w:position w:val="0"/>
          <w:sz w:val="24"/>
          <w:szCs w:val="24"/>
          <w:shd w:val="clear" w:color="auto" w:fill="auto"/>
          <w:lang w:val="ru-RU" w:eastAsia="ru-RU" w:bidi="ru-RU"/>
        </w:rPr>
        <w:t>, сооружения, предназначенные для охраны автомобильных дорог и искусственных дорожных сооружений, тротуары, другие предназначенные для обеспечения дорожного движения, в том числе его безопасности, сооружения, за исключением объектов дорожного сервиса.</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Проанализировав положения извещения, Комиссия установила что в ходе исполнения контракта победителю аукциона необходимо будет выполнить следующие работы:</w:t>
      </w:r>
    </w:p>
    <w:p>
      <w:pPr>
        <w:pStyle w:val="Style13"/>
        <w:keepNext w:val="0"/>
        <w:keepLines w:val="0"/>
        <w:widowControl w:val="0"/>
        <w:numPr>
          <w:ilvl w:val="0"/>
          <w:numId w:val="5"/>
        </w:numPr>
        <w:shd w:val="clear" w:color="auto" w:fill="auto"/>
        <w:tabs>
          <w:tab w:pos="1119"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должен круглосуточно незамедлительно обеспечивать доступ на платную парковку экстренных и специальных служб после поступления звонка от указанных служб диспетчеру;</w:t>
      </w:r>
    </w:p>
    <w:p>
      <w:pPr>
        <w:pStyle w:val="Style13"/>
        <w:keepNext w:val="0"/>
        <w:keepLines w:val="0"/>
        <w:widowControl w:val="0"/>
        <w:numPr>
          <w:ilvl w:val="0"/>
          <w:numId w:val="5"/>
        </w:numPr>
        <w:shd w:val="clear" w:color="auto" w:fill="auto"/>
        <w:tabs>
          <w:tab w:pos="1117"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обеспечивать беспрепятственный доступ на парковку третьих лиц, согласованных с Заказчиком для служебного пользования;</w:t>
      </w:r>
    </w:p>
    <w:p>
      <w:pPr>
        <w:pStyle w:val="Style13"/>
        <w:keepNext w:val="0"/>
        <w:keepLines w:val="0"/>
        <w:widowControl w:val="0"/>
        <w:numPr>
          <w:ilvl w:val="0"/>
          <w:numId w:val="5"/>
        </w:numPr>
        <w:shd w:val="clear" w:color="auto" w:fill="auto"/>
        <w:tabs>
          <w:tab w:pos="1117"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проводить ремонтные и диагностические работы на месте обнаружения неисправности оборудования и устранения возникших неполадок;</w:t>
      </w:r>
    </w:p>
    <w:p>
      <w:pPr>
        <w:pStyle w:val="Style13"/>
        <w:keepNext w:val="0"/>
        <w:keepLines w:val="0"/>
        <w:widowControl w:val="0"/>
        <w:numPr>
          <w:ilvl w:val="0"/>
          <w:numId w:val="5"/>
        </w:numPr>
        <w:shd w:val="clear" w:color="auto" w:fill="auto"/>
        <w:tabs>
          <w:tab w:pos="1117"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производить текущий ремонт (замену) вышедшего из строя парковочного оборудования и его элементов. При этом внешние и внутренние компоненты, требующие замены, заменяются Исполнителем за свой счет без компенсации со стороны Заказчика. При этом представить Заказчику фото и/или видео отчеты исправленного оборудования (открытие и закрытие парковочной сессии).</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Из вышеперечисленного следует, что работы, являющиеся предметом контракта, являются</w:t>
        <w:br w:type="page"/>
      </w:r>
      <w:r>
        <w:rPr>
          <w:color w:val="000000"/>
          <w:spacing w:val="0"/>
          <w:w w:val="100"/>
          <w:position w:val="0"/>
          <w:sz w:val="24"/>
          <w:szCs w:val="24"/>
          <w:shd w:val="clear" w:color="auto" w:fill="auto"/>
          <w:lang w:val="ru-RU" w:eastAsia="ru-RU" w:bidi="ru-RU"/>
        </w:rPr>
        <w:t>работами по содержанию парковочного пространства, представляющего собой неотъемлемую часть автомоильной дороги.</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Учитывая, объект закупки, НМЦК в рамках рассматриваемой закупки (9 500 000 рублей), Комиссия приходит к выводу, что в рассматриваемом случае заказчиком правомерно установлено требование к участникам закупки в соответствии с Позицией 18 раздела II приложения к Постановлению № 2571.</w:t>
      </w:r>
    </w:p>
    <w:p>
      <w:pPr>
        <w:pStyle w:val="Style13"/>
        <w:keepNext w:val="0"/>
        <w:keepLines w:val="0"/>
        <w:widowControl w:val="0"/>
        <w:shd w:val="clear" w:color="auto" w:fill="auto"/>
        <w:bidi w:val="0"/>
        <w:spacing w:before="0" w:after="0" w:line="240" w:lineRule="auto"/>
        <w:ind w:left="0" w:right="0" w:firstLine="760"/>
        <w:jc w:val="left"/>
      </w:pPr>
      <w:r>
        <w:rPr>
          <w:color w:val="000000"/>
          <w:spacing w:val="0"/>
          <w:w w:val="100"/>
          <w:position w:val="0"/>
          <w:sz w:val="24"/>
          <w:szCs w:val="24"/>
          <w:shd w:val="clear" w:color="auto" w:fill="auto"/>
          <w:lang w:val="ru-RU" w:eastAsia="ru-RU" w:bidi="ru-RU"/>
        </w:rPr>
        <w:t>Таким образом, Комиссия не может признать довод подателя жалобы обоснованным.</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На рассмотрении жалобы по существу представителем заказчика было заявлено ходатайство о выдаче предписания о внесении изменений в извещение о проведении электронного аукциона в части исключения из технического задания пункта 3.3 «В срок не более 1 календарного дня с даты подписания муниципального контракта Исполнитель заключает договор с любой организацией по использованию сервиса смс-рассылки (подтверждения учетной записи) для новых пользователей платными парковочными пространствами на период действия муниципального контракта». Указанное ходатайство не было мотивировано, а именно, в нем отсутствовали ссылки на нормативно- правовые акты, обосновывающие позицию заказчика.</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Вместе с тем, Комиссия Красноярского УФАС России правомочна выдавать предписания об устранении нарушений законодательства Российской Федерации в случае, если в ходе рассмотрения жалобы такие нарушения были выявлены. Вместе с тем, Комиссия Красноярского УФАС России не установила нарушений в действиях заказчика и уполномоченного органа. Таким образом, необходимость в выдаче предписания отсутствует, в удовлетворении заявленного ходатайства было отказано.</w:t>
      </w:r>
    </w:p>
    <w:p>
      <w:pPr>
        <w:pStyle w:val="Style13"/>
        <w:keepNext w:val="0"/>
        <w:keepLines w:val="0"/>
        <w:widowControl w:val="0"/>
        <w:shd w:val="clear" w:color="auto" w:fill="auto"/>
        <w:bidi w:val="0"/>
        <w:spacing w:before="0" w:after="240" w:line="240" w:lineRule="auto"/>
        <w:ind w:left="0" w:right="0" w:firstLine="760"/>
        <w:jc w:val="both"/>
      </w:pPr>
      <w:r>
        <w:rPr>
          <w:color w:val="000000"/>
          <w:spacing w:val="0"/>
          <w:w w:val="100"/>
          <w:position w:val="0"/>
          <w:sz w:val="24"/>
          <w:szCs w:val="24"/>
          <w:shd w:val="clear" w:color="auto" w:fill="auto"/>
          <w:lang w:val="ru-RU" w:eastAsia="ru-RU" w:bidi="ru-RU"/>
        </w:rPr>
        <w:t>На основании вышеизложенных обстоятельств, в результате рассмотрения жалобы по существу и проведения внеплановой проверки, руководствуясь частями 3,15 статьи 99, частью 8 статьи 106 Закона о контрактной системе, Комиссия Красноярского УФАС России приняла решение признать жалобу ООО «Стейн» необоснованной.</w:t>
      </w:r>
    </w:p>
    <w:p>
      <w:pPr>
        <w:pStyle w:val="Style13"/>
        <w:keepNext w:val="0"/>
        <w:keepLines w:val="0"/>
        <w:widowControl w:val="0"/>
        <w:shd w:val="clear" w:color="auto" w:fill="auto"/>
        <w:bidi w:val="0"/>
        <w:spacing w:before="0" w:after="300" w:line="240" w:lineRule="auto"/>
        <w:ind w:left="0" w:right="0" w:firstLine="760"/>
        <w:jc w:val="both"/>
      </w:pPr>
      <w:r>
        <w:rPr>
          <w:color w:val="000000"/>
          <w:spacing w:val="0"/>
          <w:w w:val="100"/>
          <w:position w:val="0"/>
          <w:sz w:val="24"/>
          <w:szCs w:val="24"/>
          <w:shd w:val="clear" w:color="auto" w:fill="auto"/>
          <w:lang w:val="ru-RU" w:eastAsia="ru-RU" w:bidi="ru-RU"/>
        </w:rPr>
        <w:t>Решение может быть обжаловано в арбитражный суд в течение трех месяцев со дня его принятия.</w:t>
      </w:r>
    </w:p>
    <w:p>
      <w:pPr>
        <w:pStyle w:val="Style13"/>
        <w:keepNext w:val="0"/>
        <w:keepLines w:val="0"/>
        <w:widowControl w:val="0"/>
        <w:shd w:val="clear" w:color="auto" w:fill="auto"/>
        <w:bidi w:val="0"/>
        <w:spacing w:before="0" w:after="240" w:line="240" w:lineRule="auto"/>
        <w:ind w:left="0" w:right="0" w:firstLine="0"/>
        <w:jc w:val="right"/>
      </w:pPr>
      <w:r>
        <mc:AlternateContent>
          <mc:Choice Requires="wps">
            <w:drawing>
              <wp:anchor distT="0" distB="0" distL="114300" distR="114300" simplePos="0" relativeHeight="125829380" behindDoc="0" locked="0" layoutInCell="1" allowOverlap="1">
                <wp:simplePos x="0" y="0"/>
                <wp:positionH relativeFrom="page">
                  <wp:posOffset>699770</wp:posOffset>
                </wp:positionH>
                <wp:positionV relativeFrom="paragraph">
                  <wp:posOffset>12700</wp:posOffset>
                </wp:positionV>
                <wp:extent cx="1600200" cy="563880"/>
                <wp:wrapSquare wrapText="bothSides"/>
                <wp:docPr id="9" name="Shape 9"/>
                <a:graphic xmlns:a="http://schemas.openxmlformats.org/drawingml/2006/main">
                  <a:graphicData uri="http://schemas.microsoft.com/office/word/2010/wordprocessingShape">
                    <wps:wsp>
                      <wps:cNvSpPr txBox="1"/>
                      <wps:spPr>
                        <a:xfrm>
                          <a:ext cx="1600200" cy="563880"/>
                        </a:xfrm>
                        <a:prstGeom prst="rect"/>
                        <a:noFill/>
                      </wps:spPr>
                      <wps:txbx>
                        <w:txbxContent>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xbxContent>
                      </wps:txbx>
                      <wps:bodyPr lIns="0" tIns="0" rIns="0" bIns="0">
                        <a:noAutoFit/>
                      </wps:bodyPr>
                    </wps:wsp>
                  </a:graphicData>
                </a:graphic>
              </wp:anchor>
            </w:drawing>
          </mc:Choice>
          <mc:Fallback>
            <w:pict>
              <v:shape id="_x0000_s1035" type="#_x0000_t202" style="position:absolute;margin-left:55.100000000000001pt;margin-top:1.pt;width:126.pt;height:44.399999999999999pt;z-index:-125829373;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xbxContent>
                </v:textbox>
                <w10:wrap type="square" anchorx="page"/>
              </v:shape>
            </w:pict>
          </mc:Fallback>
        </mc:AlternateContent>
      </w:r>
      <w:r>
        <w:rPr>
          <w:color w:val="000000"/>
          <w:spacing w:val="0"/>
          <w:w w:val="100"/>
          <w:position w:val="0"/>
          <w:sz w:val="24"/>
          <w:szCs w:val="24"/>
          <w:shd w:val="clear" w:color="auto" w:fill="auto"/>
          <w:lang w:val="ru-RU" w:eastAsia="ru-RU" w:bidi="ru-RU"/>
        </w:rPr>
        <w:t>М.А. Дударева</w:t>
      </w:r>
    </w:p>
    <w:p>
      <w:pPr>
        <w:pStyle w:val="Style13"/>
        <w:keepNext w:val="0"/>
        <w:keepLines w:val="0"/>
        <w:widowControl w:val="0"/>
        <w:shd w:val="clear" w:color="auto" w:fill="auto"/>
        <w:bidi w:val="0"/>
        <w:spacing w:before="0" w:after="240" w:line="240" w:lineRule="auto"/>
        <w:ind w:left="0" w:right="0" w:firstLine="0"/>
        <w:jc w:val="right"/>
      </w:pPr>
      <w:r>
        <w:rPr>
          <w:color w:val="000000"/>
          <w:spacing w:val="0"/>
          <w:w w:val="100"/>
          <w:position w:val="0"/>
          <w:sz w:val="24"/>
          <w:szCs w:val="24"/>
          <w:shd w:val="clear" w:color="auto" w:fill="auto"/>
          <w:lang w:val="ru-RU" w:eastAsia="ru-RU" w:bidi="ru-RU"/>
        </w:rPr>
        <w:t>М.А. Грицай</w:t>
      </w:r>
    </w:p>
    <w:p>
      <w:pPr>
        <w:pStyle w:val="Style13"/>
        <w:keepNext w:val="0"/>
        <w:keepLines w:val="0"/>
        <w:widowControl w:val="0"/>
        <w:shd w:val="clear" w:color="auto" w:fill="auto"/>
        <w:bidi w:val="0"/>
        <w:spacing w:before="0" w:after="4440" w:line="240" w:lineRule="auto"/>
        <w:ind w:left="0" w:right="0" w:firstLine="0"/>
        <w:jc w:val="right"/>
      </w:pPr>
      <w:r>
        <w:rPr>
          <w:color w:val="000000"/>
          <w:spacing w:val="0"/>
          <w:w w:val="100"/>
          <w:position w:val="0"/>
          <w:sz w:val="24"/>
          <w:szCs w:val="24"/>
          <w:shd w:val="clear" w:color="auto" w:fill="auto"/>
          <w:lang w:val="ru-RU" w:eastAsia="ru-RU" w:bidi="ru-RU"/>
        </w:rPr>
        <w:t>Е.О. Хорышев</w:t>
      </w:r>
    </w:p>
    <w:p>
      <w:pPr>
        <w:pStyle w:val="Style13"/>
        <w:keepNext w:val="0"/>
        <w:keepLines w:val="0"/>
        <w:widowControl w:val="0"/>
        <w:shd w:val="clear" w:color="auto" w:fill="auto"/>
        <w:bidi w:val="0"/>
        <w:spacing w:before="0" w:after="28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Исп.Косенко М.А. тел.(391)2110144</w:t>
      </w:r>
    </w:p>
    <w:sectPr>
      <w:footnotePr>
        <w:pos w:val="pageBottom"/>
        <w:numFmt w:val="decimal"/>
        <w:numRestart w:val="continuous"/>
      </w:footnotePr>
      <w:type w:val="continuous"/>
      <w:pgSz w:w="11900" w:h="16840"/>
      <w:pgMar w:top="322" w:right="534" w:bottom="1179" w:left="1100"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10008235</wp:posOffset>
              </wp:positionV>
              <wp:extent cx="713105" cy="100330"/>
              <wp:wrapNone/>
              <wp:docPr id="3" name="Shape 3"/>
              <a:graphic xmlns:a="http://schemas.openxmlformats.org/drawingml/2006/main">
                <a:graphicData uri="http://schemas.microsoft.com/office/word/2010/wordprocessingShape">
                  <wps:wsp>
                    <wps:cNvSpPr txBox="1"/>
                    <wps:spPr>
                      <a:xfrm>
                        <a:ext cx="71310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2023-21651</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pt;margin-top:788.05000000000007pt;width:56.1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2023-21651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13105" cy="100330"/>
              <wp:wrapNone/>
              <wp:docPr id="5" name="Shape 5"/>
              <a:graphic xmlns:a="http://schemas.openxmlformats.org/drawingml/2006/main">
                <a:graphicData uri="http://schemas.microsoft.com/office/word/2010/wordprocessingShape">
                  <wps:wsp>
                    <wps:cNvSpPr txBox="1"/>
                    <wps:spPr>
                      <a:xfrm>
                        <a:ext cx="71310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2023-21651</w:t>
                          </w:r>
                        </w:p>
                      </w:txbxContent>
                    </wps:txbx>
                    <wps:bodyPr wrap="none" lIns="0" tIns="0" rIns="0" bIns="0">
                      <a:spAutoFit/>
                    </wps:bodyPr>
                  </wps:wsp>
                </a:graphicData>
              </a:graphic>
            </wp:anchor>
          </w:drawing>
        </mc:Choice>
        <mc:Fallback>
          <w:pict>
            <v:shape id="_x0000_s1031" type="#_x0000_t202" style="position:absolute;margin-left:57.pt;margin-top:776.20000000000005pt;width:56.1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2023-21651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color w:val="4360A3"/>
      <w:sz w:val="16"/>
      <w:szCs w:val="16"/>
      <w:u w:val="none"/>
    </w:rPr>
  </w:style>
  <w:style w:type="character" w:customStyle="1" w:styleId="CharStyle9">
    <w:name w:val="Основной текст (3)_"/>
    <w:basedOn w:val="DefaultParagraphFont"/>
    <w:link w:val="Style8"/>
    <w:rPr>
      <w:rFonts w:ascii="Times New Roman" w:eastAsia="Times New Roman" w:hAnsi="Times New Roman" w:cs="Times New Roman"/>
      <w:b/>
      <w:bCs/>
      <w:i w:val="0"/>
      <w:iCs w:val="0"/>
      <w:smallCaps w:val="0"/>
      <w:strike w:val="0"/>
      <w:color w:val="4360A3"/>
      <w:sz w:val="19"/>
      <w:szCs w:val="19"/>
      <w:u w:val="none"/>
    </w:rPr>
  </w:style>
  <w:style w:type="character" w:customStyle="1" w:styleId="CharStyle12">
    <w:name w:val="Подпись к картинке_"/>
    <w:basedOn w:val="DefaultParagraphFont"/>
    <w:link w:val="Style11"/>
    <w:rPr>
      <w:rFonts w:ascii="Times New Roman" w:eastAsia="Times New Roman" w:hAnsi="Times New Roman" w:cs="Times New Roman"/>
      <w:b w:val="0"/>
      <w:bCs w:val="0"/>
      <w:i w:val="0"/>
      <w:iCs w:val="0"/>
      <w:smallCaps w:val="0"/>
      <w:strike w:val="0"/>
      <w:color w:val="4360A3"/>
      <w:sz w:val="18"/>
      <w:szCs w:val="18"/>
      <w:u w:val="non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38"/>
      <w:szCs w:val="38"/>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2)"/>
    <w:basedOn w:val="Normal"/>
    <w:link w:val="CharStyle6"/>
    <w:pPr>
      <w:widowControl w:val="0"/>
      <w:shd w:val="clear" w:color="auto" w:fill="auto"/>
      <w:spacing w:after="440" w:line="281" w:lineRule="auto"/>
      <w:jc w:val="center"/>
    </w:pPr>
    <w:rPr>
      <w:rFonts w:ascii="Times New Roman" w:eastAsia="Times New Roman" w:hAnsi="Times New Roman" w:cs="Times New Roman"/>
      <w:b w:val="0"/>
      <w:bCs w:val="0"/>
      <w:i w:val="0"/>
      <w:iCs w:val="0"/>
      <w:smallCaps w:val="0"/>
      <w:strike w:val="0"/>
      <w:color w:val="4360A3"/>
      <w:sz w:val="16"/>
      <w:szCs w:val="16"/>
      <w:u w:val="none"/>
    </w:rPr>
  </w:style>
  <w:style w:type="paragraph" w:customStyle="1" w:styleId="Style8">
    <w:name w:val="Основной текст (3)"/>
    <w:basedOn w:val="Normal"/>
    <w:link w:val="CharStyle9"/>
    <w:pPr>
      <w:widowControl w:val="0"/>
      <w:shd w:val="clear" w:color="auto" w:fill="auto"/>
      <w:spacing w:after="180"/>
      <w:jc w:val="center"/>
    </w:pPr>
    <w:rPr>
      <w:rFonts w:ascii="Times New Roman" w:eastAsia="Times New Roman" w:hAnsi="Times New Roman" w:cs="Times New Roman"/>
      <w:b/>
      <w:bCs/>
      <w:i w:val="0"/>
      <w:iCs w:val="0"/>
      <w:smallCaps w:val="0"/>
      <w:strike w:val="0"/>
      <w:color w:val="4360A3"/>
      <w:sz w:val="19"/>
      <w:szCs w:val="19"/>
      <w:u w:val="none"/>
    </w:rPr>
  </w:style>
  <w:style w:type="paragraph" w:customStyle="1" w:styleId="Style11">
    <w:name w:val="Подпись к картинке"/>
    <w:basedOn w:val="Normal"/>
    <w:link w:val="CharStyle12"/>
    <w:pPr>
      <w:widowControl w:val="0"/>
      <w:shd w:val="clear" w:color="auto" w:fill="auto"/>
      <w:spacing w:line="264" w:lineRule="auto"/>
    </w:pPr>
    <w:rPr>
      <w:rFonts w:ascii="Times New Roman" w:eastAsia="Times New Roman" w:hAnsi="Times New Roman" w:cs="Times New Roman"/>
      <w:b w:val="0"/>
      <w:bCs w:val="0"/>
      <w:i w:val="0"/>
      <w:iCs w:val="0"/>
      <w:smallCaps w:val="0"/>
      <w:strike w:val="0"/>
      <w:color w:val="4360A3"/>
      <w:sz w:val="18"/>
      <w:szCs w:val="18"/>
      <w:u w:val="none"/>
    </w:rPr>
  </w:style>
  <w:style w:type="paragraph" w:customStyle="1" w:styleId="Style13">
    <w:name w:val="Основной текст"/>
    <w:basedOn w:val="Normal"/>
    <w:link w:val="CharStyle14"/>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5">
    <w:name w:val="Заголовок №1"/>
    <w:basedOn w:val="Normal"/>
    <w:link w:val="CharStyle16"/>
    <w:pPr>
      <w:widowControl w:val="0"/>
      <w:shd w:val="clear" w:color="auto" w:fill="auto"/>
      <w:spacing w:after="320"/>
      <w:outlineLvl w:val="0"/>
    </w:pPr>
    <w:rPr>
      <w:rFonts w:ascii="Arial" w:eastAsia="Arial" w:hAnsi="Arial" w:cs="Arial"/>
      <w:b w:val="0"/>
      <w:bCs w:val="0"/>
      <w:i w:val="0"/>
      <w:iCs w:val="0"/>
      <w:smallCaps w:val="0"/>
      <w:strike w:val="0"/>
      <w:sz w:val="38"/>
      <w:szCs w:val="3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s>
</file>

<file path=docProps/core.xml><?xml version="1.0" encoding="utf-8"?>
<cp:coreProperties xmlns:cp="http://schemas.openxmlformats.org/package/2006/metadata/core-properties" xmlns:dc="http://purl.org/dc/elements/1.1/">
  <dc:title>Федеральный закон от 08.11.2007 N 257-ФЗ(ред. от 04.08.2023)"Об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Федерации"(с изм. и доп., вступ. в силу с 01.09.2023)</dc:title>
  <dc:subject/>
  <dc:creator/>
  <cp:keywords/>
</cp:coreProperties>
</file>