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824865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52749/23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50000000000003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52749/23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Абдамитов А. 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4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адатйоГГ@уапдех.ги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«НМИЦК им. ак. Е.И. Чазова»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4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ош18-каг4ю@уап4ех.ги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36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тГо@8ЪегЪапк-а81\ги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163" w:val="left"/>
        </w:tabs>
        <w:bidi w:val="0"/>
        <w:spacing w:before="0" w:after="0" w:line="211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077/06/106-17399/2023 о нарушении</w:t>
        <w:br/>
        <w:t>законодательства о контрактной системе</w:t>
        <w:br/>
        <w:t>06.12.2023</w:t>
        <w:tab/>
        <w:t>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 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Абдамитов А.А.: Витык Н.И. (по доверенности №б/н от 29.09.2023), Мацькова В.В. (по доверенности №б/н от 03.10.2023);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«НМИЦК им. ак. Е.И. Чазова» Минздрава России: Кузина А.А. (по доверенности № б/н от 06.12.2023),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Абдамитов А.А. (далее — Заявитель) на действия ФГБУ «НМЙЦК им. ак. Е.И. Чазова» Минздрава России (далее — Заказчик) при проведении электронного аукциона на право заключения контракта на поставку расходного материала (585) (Закупка №0373100015823000573) (далее - запрос котировок)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1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рассмотрены документы и сведения, запрашиваемые посредством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установлении в извещении об осуществлении закупки неправомерных требований, которые препятствуют подаче заявки на участие в закупке, в частности: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№ 11 сформирована под товар единственного производителя - Стент для коронарных артерий, выделяющий лекарственное средство 1Л1ппа^1ег Тапаса производства компании Тегито.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№№ 2, 4, 5, 7, 9, 10, 12, 16, 17, 20, 22, 23, 27, 30 сформированы под товар единственного производителя - Стент для коронарных артерий, выделяющий лекарственное средство Зупегду производства компании Воз1оп ВоепПЛс.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жалобе Заявитель отмечает на наличие разночтений между техническим заданием, опубликованным в структурированном виде в извещении об осуществлении закупки, и техническим заданием, опубликованным в отдельном документе «Техническое задание».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7" w:val="left"/>
        </w:tabs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0" w:val="left"/>
        </w:tabs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0" w:val="left"/>
        </w:tabs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0" w:val="left"/>
        </w:tabs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извещение об осуществлении закупки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содержит следующие 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ребования к закупаемым товарам, например, по позиции №11:</w:t>
      </w:r>
    </w:p>
    <w:tbl>
      <w:tblPr>
        <w:tblOverlap w:val="never"/>
        <w:jc w:val="center"/>
        <w:tblLayout w:type="fixed"/>
      </w:tblPr>
      <w:tblGrid>
        <w:gridCol w:w="1930"/>
        <w:gridCol w:w="754"/>
        <w:gridCol w:w="1474"/>
        <w:gridCol w:w="1349"/>
        <w:gridCol w:w="1651"/>
        <w:gridCol w:w="3082"/>
      </w:tblGrid>
      <w:tr>
        <w:trPr>
          <w:trHeight w:val="38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Стент для коронарных артерий, выделяющий лекарственное средство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Обоснование включения дополнительной информации в сведения о товаре, работе, услуге: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см.приложенный файл технические характеристики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32.50.1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3.190</w:t>
              <w:softHyphen/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02441</w:t>
            </w:r>
          </w:p>
        </w:tc>
        <w:tc>
          <w:tcPr>
            <w:gridSpan w:val="4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Лекарственное покрытие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сиролимус и (или)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паклитаксель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58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Номинальный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диаметр стента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2.25 и &lt; 2.5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58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Длина стента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32 и &lt; 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57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Совместимый проводник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0.0140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Дюйм (25,4 мм)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Длина проксимального маркера глубины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1000 и &lt; 1020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7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Длина дистального маркера глубины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900 и &lt; 950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58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Толщина стенки стента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80 и &lt; 86.4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57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Длина катетера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140 и &lt; 144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Сантиметр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58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Номинальное давление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9 и &lt;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57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Давление разрыва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16.0000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59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Дозировка лекарственного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78 и &lt; 149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930"/>
        <w:gridCol w:w="754"/>
        <w:gridCol w:w="1474"/>
        <w:gridCol w:w="1349"/>
        <w:gridCol w:w="1651"/>
        <w:gridCol w:w="3082"/>
      </w:tblGrid>
      <w:tr>
        <w:trPr>
          <w:trHeight w:val="37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вещества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Совместимый катетер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5 и &lt;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58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Материал стента Кобальт-хром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58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Проксимальный диаметр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1.9 и &lt; 2.3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586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Дистальный диаметр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2.7000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согласно Техническому заданию, размещенному в составе документов к извещению об осуществлении закупки, по позиции №11 определено:</w:t>
      </w:r>
    </w:p>
    <w:tbl>
      <w:tblPr>
        <w:tblOverlap w:val="never"/>
        <w:jc w:val="center"/>
        <w:tblLayout w:type="fixed"/>
      </w:tblPr>
      <w:tblGrid>
        <w:gridCol w:w="2923"/>
        <w:gridCol w:w="2347"/>
        <w:gridCol w:w="1344"/>
        <w:gridCol w:w="3581"/>
      </w:tblGrid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Лекарственное покрытие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сиролимус и (или) паклитаксель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4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Номинальный диаметр стента;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2.25 и &lt; 2.5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4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Длина стента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&gt;32 и &lt; 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дополнительные: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Толщина стенки стента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80 или 86,4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мкм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9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Длина катетера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140 или 144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2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Номинальное давление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9 или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Атм/бар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2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Давление разрыва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Атм/бар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Совместимый проводник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0,014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дюйм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Совместимый катетер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 или 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4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Материал стента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Кобальт-хром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Проксимальный диаметр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1,9 или 2,3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7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Дистальный диаметр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2,7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4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Длина дистального маркера глубины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900 или 950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Длина проксимального маркера глубины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1000 или 1050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4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Дозировка лекарственного вещества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 менее 78 и не более 149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мкг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Аналогично по остальным оспариваемым позициям.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под данные параметры позиции №11 могли бы подойти стенты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ие11а\\'1&lt; компании М1сгорог1 (регистрационное удостоверние РЗН 2020/10918), однако, согласно инструкции, размещенной на официальном сайте Росздравнадзора, стенты имеют метки на расстоянии 950 и 1050 мм, что не соответствует параметру «Длина проксимального маркера глубины &gt; 1000 и &lt; 1020».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позициям № 2, 4, 5, 7, 9, 10, 12, 16, 17, 20, 22, 23, 27, 30 Заявитель отмечает, что под данные параметры могли бы подойти стенты 1Л1ппа&gt;,1ег Тапаса компании Тегито, однако данные стенты имеют лекарственное покрытие сиролимус, что не соответствует параметру «Лекарственное покрытие зотаролимус и (или) эверолимус и (или) биолимус А9».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Комиссией Управления представитель Заказчика пояснил, что производители, указанные Заявителем в жалобе отвечают потребности Заказчика, изложенной в отдельном файле «Техническое задание», размещенном в составе документов к извещению об осуществлении закупки. При этом наличие разночтений между Техническим заданием, опубликованным в структурированной форме на официальном сайте Единой информационной системе в сфере закупок (далее ЕИС) и Техническим заданием, опубликованным в отдельном документе «Техническое задание» связанно с неоднократным сбоем и техническими проблемами, возникающими при формировании структурированного вида характеристик объекта закупки на сайте ЕИС.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Управления, в свою очередь, отмечает, что с 01.10.2023 года при проведении электронных процедур, закрытых электронных процедур характеристики объекта закупки указываются с использованием единой информационной системы при формировании извещения о закупке, приглашения принять участие в определении поставщика (подрядчика, исполнителя) (Постановление Правительства РФ от 31.10.2022 № 1946 «О внесении изменений в некоторые акты Правительства Российской Федерации по вопросам осуществления закупок товаров, работ, услуг для обеспечения государственных и муниципальных нужд, закупок товаров, работ, услуг отдельными видами юридических лиц и признании утратившими силу постановления Правительства Российской Федерации от 26 сентября 1997 г. № 1222 и отдельных положений некоторых актов Правительства Российской Федерации»).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наличие разночтений в составе извещения об осуществлении закупки не позволяет Заявителю определить точную потребность Заказчика к закупаемым товарам, а также корректно сформировать свое предложение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ст.33, п.1 ч.2 ст.42 Закона о контрактной системе и содержат признаки состава административного правонарушения, предусмотренного ч.4.1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06" w:val="left"/>
        </w:tabs>
        <w:bidi w:val="0"/>
        <w:spacing w:before="0" w:after="0" w:line="211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Абдамитов А.А. на действия ФГБУ «НМИЦК им. ак. Е.И. Чазова» Минздрава России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0" w:val="left"/>
        </w:tabs>
        <w:bidi w:val="0"/>
        <w:spacing w:before="0" w:after="0" w:line="211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нарушения п.1 ч.1 ст.33, п.1 ч.2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5" w:val="left"/>
        </w:tabs>
        <w:bidi w:val="0"/>
        <w:spacing w:before="0" w:after="0" w:line="211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9" w:val="left"/>
        </w:tabs>
        <w:bidi w:val="0"/>
        <w:spacing w:before="0" w:after="200" w:line="211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81" w:right="530" w:bottom="959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254000" distB="378460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254000</wp:posOffset>
                </wp:positionV>
                <wp:extent cx="185039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5pt;margin-top:20.pt;width:145.70000000000002pt;height:19.900000000000002pt;z-index:-125829372;mso-wrap-distance-left:0;mso-wrap-distance-top:20.pt;mso-wrap-distance-right:0;mso-wrap-distance-bottom:29.8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1790" distB="0" distL="0" distR="1786255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351790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3528695</wp:posOffset>
                </wp:positionH>
                <wp:positionV relativeFrom="paragraph">
                  <wp:posOffset>751205</wp:posOffset>
                </wp:positionV>
                <wp:extent cx="128651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CECE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7.85000000000002pt;margin-top:59.149999999999999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CECE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3486150</wp:posOffset>
                </wp:positionH>
                <wp:positionV relativeFrom="paragraph">
                  <wp:posOffset>440055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4.5pt;margin-top:34.6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378460" distL="0" distR="0" simplePos="0" relativeHeight="125829384" behindDoc="0" locked="0" layoutInCell="1" allowOverlap="1">
                <wp:simplePos x="0" y="0"/>
                <wp:positionH relativeFrom="page">
                  <wp:posOffset>6021705</wp:posOffset>
                </wp:positionH>
                <wp:positionV relativeFrom="paragraph">
                  <wp:posOffset>254000</wp:posOffset>
                </wp:positionV>
                <wp:extent cx="116713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4.15000000000003pt;margin-top:20.pt;width:91.900000000000006pt;height:19.900000000000002pt;z-index:-125829369;mso-wrap-distance-left:0;mso-wrap-distance-top:20.pt;mso-wrap-distance-right:0;mso-wrap-distance-bottom:29.8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8585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00Е9СЕАА6ОО6САС20О424А9502ЕС296Е8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22.12.2022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527" w:bottom="400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81000" distL="0" distR="0" simplePos="0" relativeHeight="125829386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37160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75pt;margin-top:10.pt;width:108.pt;height:19.900000000000002pt;z-index:-125829367;mso-wrap-distance-left:0;mso-wrap-distance-top:10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4790" distB="0" distL="0" distR="1786255" simplePos="0" relativeHeight="125829388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224790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3528695</wp:posOffset>
                </wp:positionH>
                <wp:positionV relativeFrom="paragraph">
                  <wp:posOffset>627380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CECE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85000000000002pt;margin-top:49.3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CECE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3486150</wp:posOffset>
                </wp:positionH>
                <wp:positionV relativeFrom="paragraph">
                  <wp:posOffset>313055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4.5pt;margin-top:24.650000000000002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81000" distL="0" distR="0" simplePos="0" relativeHeight="125829389" behindDoc="0" locked="0" layoutInCell="1" allowOverlap="1">
                <wp:simplePos x="0" y="0"/>
                <wp:positionH relativeFrom="page">
                  <wp:posOffset>5762625</wp:posOffset>
                </wp:positionH>
                <wp:positionV relativeFrom="paragraph">
                  <wp:posOffset>127000</wp:posOffset>
                </wp:positionV>
                <wp:extent cx="1429385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93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53.75pt;margin-top:10.pt;width:112.55pt;height:19.900000000000002pt;z-index:-125829364;mso-wrap-distance-left:0;mso-wrap-distance-top:10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А.И. Рахматуллаев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1ВЗВС45854СЕВ6С993Е00602С0ЕВЕЕС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30.11.2024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415" w:line="240" w:lineRule="auto"/>
        <w:ind w:left="1240" w:right="0" w:firstLine="0"/>
        <w:jc w:val="left"/>
      </w:pPr>
      <w:r>
        <w:drawing>
          <wp:anchor distT="0" distB="0" distL="114300" distR="1918970" simplePos="0" relativeHeight="125829391" behindDoc="0" locked="0" layoutInCell="1" allowOverlap="1">
            <wp:simplePos x="0" y="0"/>
            <wp:positionH relativeFrom="page">
              <wp:posOffset>3092450</wp:posOffset>
            </wp:positionH>
            <wp:positionV relativeFrom="paragraph">
              <wp:posOffset>101600</wp:posOffset>
            </wp:positionV>
            <wp:extent cx="311150" cy="3657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3485515</wp:posOffset>
                </wp:positionH>
                <wp:positionV relativeFrom="paragraph">
                  <wp:posOffset>171450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4.44999999999999pt;margin-top:13.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  <w:bookmarkEnd w:id="4"/>
    </w:p>
    <w:p>
      <w:pPr>
        <w:pStyle w:val="Style3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527" w:bottom="11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10109835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2023-59987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99999999999999pt;margin-top:796.05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2023-59987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10129520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2023-59987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7.60000000000002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2023-59987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493395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5000000000003pt;margin-top:38.8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Подпись к таблиц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Заголовок №2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character" w:customStyle="1" w:styleId="CharStyle39">
    <w:name w:val="Основной текст (5)_"/>
    <w:basedOn w:val="DefaultParagraphFont"/>
    <w:link w:val="Style3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CECEC"/>
      <w:sz w:val="12"/>
      <w:szCs w:val="12"/>
      <w:u w:val="none"/>
    </w:rPr>
  </w:style>
  <w:style w:type="character" w:customStyle="1" w:styleId="CharStyle41">
    <w:name w:val="Основной текст (4)_"/>
    <w:basedOn w:val="DefaultParagraphFont"/>
    <w:link w:val="Style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5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4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Подпись к таблице"/>
    <w:basedOn w:val="Normal"/>
    <w:link w:val="CharStyle22"/>
    <w:pPr>
      <w:widowControl w:val="0"/>
      <w:shd w:val="clear" w:color="auto" w:fill="auto"/>
      <w:spacing w:line="211" w:lineRule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Заголовок №2"/>
    <w:basedOn w:val="Normal"/>
    <w:link w:val="CharStyle30"/>
    <w:pPr>
      <w:widowControl w:val="0"/>
      <w:shd w:val="clear" w:color="auto" w:fill="auto"/>
      <w:spacing w:after="210"/>
      <w:ind w:left="6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7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paragraph" w:customStyle="1" w:styleId="Style38">
    <w:name w:val="Основной текст (5)"/>
    <w:basedOn w:val="Normal"/>
    <w:link w:val="CharStyle39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CECEC"/>
      <w:sz w:val="12"/>
      <w:szCs w:val="12"/>
      <w:u w:val="none"/>
    </w:rPr>
  </w:style>
  <w:style w:type="paragraph" w:customStyle="1" w:styleId="Style40">
    <w:name w:val="Основной текст (4)"/>
    <w:basedOn w:val="Normal"/>
    <w:link w:val="CharStyle41"/>
    <w:pPr>
      <w:widowControl w:val="0"/>
      <w:shd w:val="clear" w:color="auto" w:fill="auto"/>
      <w:spacing w:after="60" w:line="26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