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4460A2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Мурманской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ю51 @Гав.§оу.ги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1810" w:val="left"/>
        </w:tabs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1,12.2023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МГ/4537/2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 имущественных отношений и территориального планирования Администрации муниципального образования Кандалакшский оМе196991@таП.ш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6" w:right="1463" w:bottom="1184" w:left="1140" w:header="0" w:footer="3" w:gutter="0"/>
          <w:pgNumType w:start="1"/>
          <w:cols w:num="2" w:space="1026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«ПромЭкоБезопасность» тг1@иШдк.ш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5" w:after="3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76" w:right="0" w:bottom="117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по делу № 051/06/106-783/2023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420" w:val="left"/>
        </w:tabs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 декабря 2023 года</w:t>
        <w:tab/>
        <w:t>город Мурманск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(далее — Комиссия Мурманского УФАС России)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Заместителя председателя Комиссии Мурманского УФАС России: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Гребенюковой М.Е. - врио заместителя руководителя Управления Федеральной антимонопольной службы по Мурманской области,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Членов Комиссии Мурманского УФАС России: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Чоповской Н.И. - ведущего специалиста-эксперта отдела контроля торгов Управления Федеральной антимонопольной службы по Мурманской области,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Конох А.А. - специалиста-эксперта отдела контроля торгов отдела контроля торгов Управления Федеральной антимонопольной службы по Мурманской области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представителя ООО «ПромЭкоБезопасность» - генерального директора Чижова Г.А.,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без участия представителей Комитета имущественных отношений и территориального планирования администрации муниципального образования Кандалакшский район, надлежаще уведомленного,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общества с ограниченной ответственностью «ПромЭкоБезопасность» (далее - Заявитель, Общество) на действия Комитета имущественных отношений и территориального планирования администрации муниципального образования Кандалакшский район (далее - Заказчик, Комитет) при проведении электронного аукциона на выполнение работ по сносу расселенных многоквартирных жилых домов (реестровый номер извещения 0149300003523000141) (далее — Аукцион, Закупка) в соответствии со статьёй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муниципального образования кандалакшский район (далее - Комитет) для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нужд Комитета имущественных отношений и территориального планирования администрации муниципального образования Кандалакшский район проводился электронный Аукцион, извещение о проведении которых было размещено на официальном сайте Российской Федерации Единой информационной системы в сфере закупок (далее - ЕИС) 23.11.2023.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 Администрация муниципального образования Кандалакшский район.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 Комитет имущественных отношений и территориального планирования администрации муниципального образования Кандалакшский район.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объекта закупки: выполнение работ по сносу расселенных многоквартирных жилых домов.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7793600.00 рублей.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 согласившись с действиями Заказчика при формировании извещения о проведении Аукциона Заявитель обратился с жалобой в Мурманское УФАС России. Общество полагает, что техническая документация и проект контракта не соответствуют требованиям федерального закона от 24.06.1998 № 89-ФЗ «Об отходах производства и потребления» и федерального закона от 04.05.2011 № 99-ФЗ «О лицензировании отдельных видов деятельности». В связи с чем полагает, что заказчиком нарушены положения подпункта 2 пункта 1 статьи 33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Комитет с доводами жалобы не согласился, представил свои возражения.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рассмотрены дистанционно посредством сервиса веб-видеоконференцсвязи 06.12.2023.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Мурманского УФАС России, выслушав доводы Заявителя, изучив письменные пояснения Заказчика, исследовав представленные сторонами документы, приходит к следующим выводам.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Рассматриваемые торги проведены в порядке, предусмотренном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части 1 статьи 33 Закона о контрактной системе предусмотрено, что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 (часть 2 статьи 33 Закона о контрактной системе).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пункту 8 части 1 статьи 33 Закона о контрактной системе описание объекта закупки при осуществлении закупки работ по строительству, реконструкции, капитальному ремонту,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сносу объекта капитального строительства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должно содержать проектную документацию, утвержденную в порядке, установленном законодательством о градостроительной деятельности, или типовую проектную документацию, или смету на капитальный ремонт объекта капитального строительства, за исключением случая, если подготовка таких проектных документаций, сметы в соответствии с указанным законодательством не требуется, а также случаев осуществления закупки в соответствии с частями 16 и 16.1 статьи 34 настоящего Федерального закона, при которых предметом контракта является в том числе проектирование объекта капитального строительства. Включение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проектной документации в описание объекта закупки в соответствии с настоящим пунктом является надлежащим исполнением требований пунктов 1, 2, 3 настоящей части, части 2 настоящей статьи.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Мурманского УФАС России установлено, что Заказчиком в ЕИС размещена в полном объеме проектная документация.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2.1. Извещения «Общие требования» установлено выполнение Подрядчиком работ по сносу многоквартирных жилых домов в соответствии с требованиями технических регламентов, действующими строительными нормами и правилами, настоящим техническим заданием и условиями муниципального контракта.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Приложением № 2 извещения об осуществлении закупки «Описание объекта закупки (техническое задание)», проектом контракта установлено, что выполнение работ, являющиеся предметом контракта, необходимо выполнить в соответствии с техническим заданием,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проектами организации работ по сносу объектов капитального строительства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(Приложение № 2 к контракту).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Проекты организации работ капитального строительства (далее «Проектная документация») разработаны специализированной организацией ООО «ЕвроПроект» по заданию Заказчика на каждый объект, подлежащий сносу и размещены в ЕИС отдельными файлами.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2 статьи 48 Градостроительного Кодекса Российской Федерации (далее - ГрК РФ) проектная документация представляет собой документацию, содержащую материалы в текстовой и графической формах и (или) в форме информационной модели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пункта 5 статьи 55.30 ГрК РФ требования к составу и содержанию проекта организации работ по сносу объекта капитального строительства устанавливаются Правительством Российской Федерации.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Подпункт с) пункта 4 Постановление Правительства РФ от 26.04.2019 № 509 «Об утверждении требований к составу и содержанию проекта организации работ по сносу объекта капитального строительства» предусматривает, что текстовая часть проекта должно содержать описание решений по вывозу и утилизации отходов от сноса объекта капитального строительства, в том числе демонтированного оборудования (при наличии такого оборудования).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 исполнение указанных норм проектная документация содержит раздел 17 «Описание решений по вывозу и утилизации отходов», в котором приведен ориентировочный список отходов, подлежащих вывозу на полигон размещения, отходов. Названия и кодификация отходов произведена по Федеральному классификационному каталогу отходов (ФККО). Представленные отходы имеют класс опасности для окружающей природной среды 1У-У Организация, осуществляющая вывоз строительного мусора должна иметь лицензии на деятельности по сбору, обработке, утилизации отходов 1-У класса опасности в соответствии с Федеральными законами № 99-ФЗ от 04.05.2011, № 89-ФЗ от 24.06.1998, № 503 ФЗ от 31.12.2017. Возможно привлечение подрядной организацией иных компаний с такой лицензией.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сносе мелкоблочные, пылевидные отходы и строительный мусор вывозятся на полигоны захоронения отходов на самосвалах. Строительный мусор можно использовать на полигоне в качестве изолирующего слоя.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Разделом 10.3 «Общие требования к выполнению работ» «Проектная документация», определено, что вывоз отходов предусмотрен автотранспортом на полигон с передачей по договору специализированной организации, имеющей лицензию на захоронение отходов.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проектную документацию, являющейся неотъемлемой частью проекта контракта, включено описание решений по вывозу и утилизации отходов от сноса объекта капитального строительства.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Так же в пункте 2.3. Извещения о проведении закупки, в пункте 2.3. приложения № 1 к проекту контракта установлено: «вывоз строительного мусора производится за счет средств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Подрядчика. Объектом размещения строительных отходов является Санкционированная свалка отходов. Транспортировка строительного мусора к объекту размещения отходов должна производиться организацией, имеющей соответствующую лицензию», что не противоречит Закону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Заказчик сформировал описание объекта закупки, соответствующее требованиям, установленным в статье 33 Закона о контрактной системе и проектной документации.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отношении доводов Заявителя о нарушении Заказчиком положений 89-ФЗ и 99-ФЗ, в части отсутствия в проекте контракта требования о наличии лицензии у организации, осуществляющей деятельность по сбору, обработке, утилизации отходов I и V класса опасности, Комиссия Мурманского УФАС России полагает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30 части 1 статьи 12 Федерального закона от 04.05.2011 № 99-ФЗ "О лицензировании отдельных видов деятельности" (далее - Закон о лицензировании) лицензированию подлежит деятельность по сбору, транспортированию, обработке, утилизации, обезвреживанию, размещению отходов I - IV классов опасности.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Отношения в области обращения с отходами I - IV классов опасности регламентируются Федеральным законом № 89-ФЗ от 24.06.1998 «Об отходах производства и потребления» (далее - Закона об отходах производства и потребления), который в том числе определяет классы опасности отходов в соответствии со статьей 4.1 Федерального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Порядок лицензирования деятельности по сбору, транспортированию, обработке, утилизации, обезвреживанию, размещению отходов I - IV классов опасности регламентируется Постановлением Правительства РФ от 26 декабря 2020 г. № 2290 «О лицензировании деятельности по сбору, транспортированию, обработке, утилизации, обезвреживанию, размещению отходов I - IV классов опасности» (далее - Постановление ^ 2290).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Перечень работ, составляющих деятельность по сбору, транспортированию, обработке, утилизации, обезвреживанию и размещению отходов I - IV классов опасности определен в Приложении к Постановлению ^ 2290.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Так, в указанном перечне содержится 24 лицензируемых вида деятельности, каждый из которых включает наименование деятельности (сбор, транспортирование, обработка, утилизация, обезвреживание, размещение отходов) и указание класса опасности (I - IV).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лицензированию подлежит деятельность по обращению с отходами I - IV классов опасности, в том числе по транспортированию отходов IV класса опасности (пункт 8 Приложения к Постановлению № 2290).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 о проведении закупки, транспортирование строительного мусора является самостоятельным обязательством, которое должен выполнить подрядчик в рамках заключенного контракта.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Как отмечено ранее, разделом 17 проектной документации (приложение № 2 к проекту контракта) предусмотрено, что организация осуществляющая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вывоз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строительного мусора должна иметь лицензию на деятельность по сбору, обработке, утилизации отходов Х^ класса опасности в соответствии с Федеральными законами № 99-ФЗ от 04.05.2011, № 89-ФЗ от 24.06.1998, № 503 ФЗ от 31.12.2017.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 2.3. приложения № 2 к Извещению «Описание объекта закупки (техническое задание) предусмотрено, что транспортировка строительного мусора к объекту размещения отходов должна производиться организацией, имеющей соответствующую лицензию. При этом Заказчик не исключает возможность осуществления деятельности по вывозу строительного мусора как собственными силами потенциального подрядчика, так и с привлечением сторонней организации, имеющую соответствующую лицензию.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 Комиссия Мурманского УФАС России не усматривает нарушение Заказчиком положений законодательства о лицензировании отдельных видов деятельности, а также законодательства об отходах производства и потребления.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Мурманского УФАС России, руководствуясь статьями 99, 106 Закона о контрактной системе,</w:t>
      </w:r>
      <w:r>
        <w:br w:type="page"/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Признать жалобу общества с ограниченной ответственностью «ПромЭкоБезопасность» на действия Комитета имущественных отношений и территориального планирования администрации муниципального образования Кандалакшский район (далее - Заказчик, Комитет) при проведении электронного аукциона на выполнение работ по сносу расселенных многоквартирных жилых домов (реестровый номер извещения 0149300003523000141) необоснованной.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1120" w:line="240" w:lineRule="auto"/>
        <w:ind w:left="0" w:right="0" w:firstLine="720"/>
        <w:jc w:val="both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судебном порядке в течение трёх месяцев со дня его принятия.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70" w:line="240" w:lineRule="auto"/>
        <w:ind w:left="0" w:right="0" w:firstLine="0"/>
        <w:jc w:val="both"/>
      </w:pPr>
      <w:r>
        <w:drawing>
          <wp:anchor distT="0" distB="0" distL="114300" distR="3768725" simplePos="0" relativeHeight="125829378" behindDoc="0" locked="0" layoutInCell="1" allowOverlap="1">
            <wp:simplePos x="0" y="0"/>
            <wp:positionH relativeFrom="page">
              <wp:posOffset>3033395</wp:posOffset>
            </wp:positionH>
            <wp:positionV relativeFrom="paragraph">
              <wp:posOffset>12700</wp:posOffset>
            </wp:positionV>
            <wp:extent cx="365760" cy="408305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3463290</wp:posOffset>
                </wp:positionH>
                <wp:positionV relativeFrom="paragraph">
                  <wp:posOffset>110490</wp:posOffset>
                </wp:positionV>
                <wp:extent cx="1725295" cy="25908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72.69999999999999pt;margin-top:8.7000000000000011pt;width:135.84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82245" distL="2915285" distR="114300" simplePos="0" relativeHeight="125829379" behindDoc="0" locked="0" layoutInCell="1" allowOverlap="1">
                <wp:simplePos x="0" y="0"/>
                <wp:positionH relativeFrom="page">
                  <wp:posOffset>5834380</wp:posOffset>
                </wp:positionH>
                <wp:positionV relativeFrom="paragraph">
                  <wp:posOffset>15875</wp:posOffset>
                </wp:positionV>
                <wp:extent cx="1219200" cy="21971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М.Е. Гребенюкова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59.40000000000003pt;margin-top:1.25pt;width:96.pt;height:17.300000000000001pt;z-index:-125829374;mso-wrap-distance-left:229.55000000000001pt;mso-wrap-distance-top:0.25pt;mso-wrap-distance-right:9.pt;mso-wrap-distance-bottom:14.3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М.Е. Гребенюкова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Заместитель председателя комиссии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40"/>
        <w:jc w:val="both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Гребенюкова Маргарита Евгеньевна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00Э70С5ВО27ОА32676СА50332С73Е726С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0" w:line="276" w:lineRule="auto"/>
        <w:ind w:right="0" w:firstLine="40"/>
        <w:jc w:val="both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>05.12.2022 по 28.02.2024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  <w:bookmarkEnd w:id="8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right"/>
      </w:pPr>
      <w:r>
        <w:drawing>
          <wp:anchor distT="0" distB="0" distL="114300" distR="1900555" simplePos="0" relativeHeight="125829381" behindDoc="0" locked="0" layoutInCell="1" allowOverlap="1">
            <wp:simplePos x="0" y="0"/>
            <wp:positionH relativeFrom="page">
              <wp:posOffset>3021330</wp:posOffset>
            </wp:positionH>
            <wp:positionV relativeFrom="paragraph">
              <wp:posOffset>12700</wp:posOffset>
            </wp:positionV>
            <wp:extent cx="353695" cy="536575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3478530</wp:posOffset>
                </wp:positionH>
                <wp:positionV relativeFrom="paragraph">
                  <wp:posOffset>415290</wp:posOffset>
                </wp:positionV>
                <wp:extent cx="1283335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73.90000000000003pt;margin-top:32.70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3435985</wp:posOffset>
                </wp:positionH>
                <wp:positionV relativeFrom="paragraph">
                  <wp:posOffset>104140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0.55000000000001pt;margin-top:8.1999999999999993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А.А.Конох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Конох Анна Александровна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000700221ЕОЕА737ВВА49ЕЕ32СОЕАЗОА2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9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right="0" w:firstLine="0"/>
        <w:jc w:val="both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01.03.2023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24.05.2024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right"/>
      </w:pPr>
      <w:r>
        <w:drawing>
          <wp:anchor distT="0" distB="0" distL="114300" distR="1900555" simplePos="0" relativeHeight="125829382" behindDoc="0" locked="0" layoutInCell="1" allowOverlap="1">
            <wp:simplePos x="0" y="0"/>
            <wp:positionH relativeFrom="page">
              <wp:posOffset>2994025</wp:posOffset>
            </wp:positionH>
            <wp:positionV relativeFrom="paragraph">
              <wp:posOffset>12700</wp:posOffset>
            </wp:positionV>
            <wp:extent cx="359410" cy="53657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3457575</wp:posOffset>
                </wp:positionH>
                <wp:positionV relativeFrom="paragraph">
                  <wp:posOffset>415290</wp:posOffset>
                </wp:positionV>
                <wp:extent cx="128016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2.25pt;margin-top:32.700000000000003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3414395</wp:posOffset>
                </wp:positionH>
                <wp:positionV relativeFrom="paragraph">
                  <wp:posOffset>104140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68.85000000000002pt;margin-top:8.1999999999999993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Н.И.Чоповская</w:t>
      </w:r>
      <w:bookmarkEnd w:id="10"/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Поповская Наталья Ивановна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00Э6А9А94649ВЕВВ52ВА969С9198921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551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332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19.09.2023 </w:t>
      </w:r>
      <w:r>
        <w:rPr>
          <w:color w:val="77777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12.12.2024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Исп.Чоповская Н.И. тел.68-50-53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76" w:right="694" w:bottom="1173" w:left="105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732155</wp:posOffset>
              </wp:positionH>
              <wp:positionV relativeFrom="page">
                <wp:posOffset>10022840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2023-4267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649999999999999pt;margin-top:789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2023-4267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2023-4267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2023-4267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Заголовок №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12">
    <w:name w:val="Основной текст (4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14">
    <w:name w:val="Основной текст (6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character" w:customStyle="1" w:styleId="CharStyle28">
    <w:name w:val="Заголовок №2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32">
    <w:name w:val="Основной текст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">
    <w:name w:val="Заголовок №1"/>
    <w:basedOn w:val="Normal"/>
    <w:link w:val="CharStyle3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90" w:line="29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auto"/>
      <w:spacing w:after="34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13">
    <w:name w:val="Основной текст (6)"/>
    <w:basedOn w:val="Normal"/>
    <w:link w:val="CharStyle14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paragraph" w:customStyle="1" w:styleId="Style27">
    <w:name w:val="Заголовок №2"/>
    <w:basedOn w:val="Normal"/>
    <w:link w:val="CharStyle28"/>
    <w:pPr>
      <w:widowControl w:val="0"/>
      <w:shd w:val="clear" w:color="auto" w:fill="auto"/>
      <w:spacing w:after="860"/>
      <w:ind w:firstLine="3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31">
    <w:name w:val="Основной текст (2)"/>
    <w:basedOn w:val="Normal"/>
    <w:link w:val="CharStyle32"/>
    <w:pPr>
      <w:widowControl w:val="0"/>
      <w:shd w:val="clear" w:color="auto" w:fill="auto"/>
      <w:ind w:left="36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