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Калужской области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Старый Торг, 5, г. Калуга, 248000</w:t>
        <w:br/>
        <w:t>тел. (4842) 57-65-92, факс (4828) 57-65-92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1о40@Га8.§оу.ги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1,12.2023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МЧ/5823/2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20" w:line="271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Кравченко А.В.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Тульская, д.13Б-20, г.Калуга тГо@до8Гагт.ги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 - АСТ»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пер. Большой Саввинский, д. 12, стр. 9, г. Москва, 119435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ко@8ЪегЪапк-а81,ги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Калужской области "Калужская городская клиническая больница № 5" ул. Космонавта Комарова, д.4, г.Калуга, 248000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608" w:bottom="1217" w:left="1140" w:header="0" w:footer="3" w:gutter="0"/>
          <w:pgNumType w:start="1"/>
          <w:cols w:num="2" w:space="720" w:equalWidth="0">
            <w:col w:w="4238" w:space="1027"/>
            <w:col w:w="488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догЪо1тса5@ка1ида.ги;дЪих_5@адт.ка1и да.ги</w:t>
      </w:r>
    </w:p>
    <w:p>
      <w:pPr>
        <w:widowControl w:val="0"/>
        <w:spacing w:line="117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" w:right="0" w:bottom="117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конкурентной политики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Калужской области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Плеханова, д. 45, г. Калуга, 248001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тт-к-ро1Шк@адт.ка1ида.ги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  <w:bookmarkEnd w:id="2"/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firstLine="0"/>
        <w:jc w:val="righ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контролю в сфере закупок товаров, работ, услуг для обеспечения государственных и муниципальных нужд Калужского УФАС России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tabs>
          <w:tab w:pos="7478" w:val="left"/>
        </w:tabs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г. Калуга</w:t>
        <w:tab/>
        <w:t>«11» декабря 2023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9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Резолютивная часть решения оглашена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«06» декабря 2023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года.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19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полном объеме решение изготовлено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«11» декабря 2023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года.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772795</wp:posOffset>
                </wp:positionH>
                <wp:positionV relativeFrom="paragraph">
                  <wp:posOffset>12700</wp:posOffset>
                </wp:positionV>
                <wp:extent cx="972185" cy="59118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2185" cy="591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Чуриков М.А.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Магер А.А.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850000000000001pt;margin-top:1.pt;width:76.549999999999997pt;height:46.55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Чуриков М.А.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Магер А.А.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председатель комиссии, заместитель руководителя - начальник отдела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Калужского УФАС России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член комиссии, заместитель руководителя Калужского УФАС России,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Умнова Ю.П. - член комиссии, главный специалист - эксперт Калужского УФАС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20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России;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посредством видеоконференцсвязи: представителей заказчика - ГБУЗ Калужской области «Калужская городская клиническая больница № 5» Денисова Б.М. (паспорт, доверенность), Гузь И.В. (паспорт, доверенность), представителей уполномоченного органа - Министерства конкурентной политики Калужской области Полубоярцева П.В. (паспорт, доверенность), Охотниковой М.А. (доверенность, паспорт), заявителя - ИП Кравченко А.В. (паспорт),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посредством видеоконференцсвязи жалобу №040/06/105-1113/2023 ИП Кравченко А.В. по существу,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30.11.2023г. в адрес Калужского УФАС России поступила жалоба ИП Кравченко А.В. на положения извещения об осуществлении закупки при проведении запроса котировок в электронной форме (номер извещения на официальном сайте 0137200001223005303), предметом которого является поставка аппарата для ультразвукового исследования с цветным допплером и тремя датчиками (далее - Аукцион).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полагает, что извещение об осуществлении закупки, не соответствует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Заказчиком, уполномоченным органом представлены пояснения по существу доводов жалобы Заявителя, в которых указанно, что доводы названной жалобы являются необоснованными, а действия Заказчика основаны на положениях Федерального закона от 05.04.2013 № 44-ФЗ.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Изучив представленные документы, с учетом доводов сторон, руководствуясь Федеральным законом от 05.04.2013 №44-ФЗ, проведя внеплановую проверку в соответствии с пунктом 1 части 15 статьи 99 Федерального закона от 05.04.2013 № 44-ФЗ, Комиссия Калужского УФАС России приходит к следующему.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26.11.2023г. на официальном сайте Единой информационной системы в сфере закупок (\\л\л\'./акирк1.доу.ги; далее также официальный сайт, ЕИС) опубликовано извещение №0137200001223005303, предметом которого является поставка аппарата для ультразвукового исследования с цветным допплером и тремя датчиками.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контракта, согласно извещению о проведении закупки, составляет 8 465 666,67 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Дата и время окончания срока подачи заявок на участие в электронном аукционе: 01.12.2023 08:00.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по указанному аукциону выступало ГБУЗ Калужской области «Калужская городская клиническая больница № 5».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доводам жалобы Заявителя, Заказчик не применил Постановление Правительства РФ от 16 ноября 2015 г. №1236 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нужд". В данной закупке ПО не является предустановленным.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2(1) Постановления № 1236 установлено, что для целей применения пункта 2 Постановления № 1236 под программным обеспечением понимают программное обеспечение и (или) права на него вследствие выполнения следующих контрактных обязательств: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поставка на материальном носителе и (или)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информационно-технологической и программно</w:t>
        <w:softHyphen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аппаратной инфраструктуры, обеспечивающей сбор, обработку и хранение данных (услуги облачных вычислений);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поставка, техническое обслуживание персональных электронных вычислительных машин, устройств терминального доступа, серверного оборудования и иных средств вычислительной техники, на которых программное обеспечение подлежит установке в результате исполнения контракта;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выполнение работ, оказание услуг, связанных с разработкой, модификацией, модернизацией программного обеспечения, в том числе в составе существующих автоматизированных систем, если такие работы или услуги сопряжены с предоставлением заказчику прав на использование программного обеспечения или расширением ранее предоставленного объема прав;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68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оказание услуг, связанных с сопровождением, технической поддержкой, обновлением программного обеспечения, в том числе в составе существующих автоматизированных систем,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Исходя из вышеизложенных положений Постановления № 1236 следует, что под программным обеспечением, в рамках Постановления № 1236, понимается, в том числе поставка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программного обеспечения на материальных носителях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, а также поставка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оборудования, на которое в рамках исполнения контракта, подлежит установка программного обеспечения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данной закупки является Система ультразвуковой визуализации, при этом отдельная поставка программного обеспечения либо его установка при исполнении контракта не предусмотрена.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Система ультразвуковой визуализации не относится к персональным ЭВМ, устройствам терминального доступа, серверному оборудованию, иным средствам вычислительной техники.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Возможность УЗИ аппарата проводить исследования обусловлена наличием в нем соответствующих специализированных программ.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пакеты программ являются принадлежностями медицинского изделия и указаны в регистрационном удостоверении, например, № ФСР 2020/12882 от 17.03.2023 года, № РЗН 2021/15972 от 13.12.2021 года, РЗН 2018/7390 от 19.07.2018 года, что позволяет сделать вывод о том, что они являются составной частью Системы ультразвуковой визуализации.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Наличие у УЗИ аппарата специализированных программ обусловлено как программной, так и аппаратной частью. Только при наличии всех составляющих, оборудование будет выполнять требуемую функцию.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Аналогичные выводы отражены в письмах Минфина России от 29.11.2022 №24-06- 06/116710, Минцифры России от 15.12.2022 № П11-2-05-106-94501, Постановлении Арбитражного суда Северо-Кавказского округа от 20.06.2022 № Ф08-4727/2022 по делу № А53-27158/2021.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довод жалобы признается необоснованным.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73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доводам жалобы Заявителя, Заказчик указал дополнительные характеристики к КТРУ не предусмотренные позициями КТРУ, чем ограничил конкуренцию и нарушил ряд постановлений и правил.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указал, что нижеследующие значения отсутствуют в действующем КТРУ и противоречат структурной части ТЗ - значения разные:</w:t>
      </w:r>
    </w:p>
    <w:tbl>
      <w:tblPr>
        <w:tblOverlap w:val="never"/>
        <w:jc w:val="center"/>
        <w:tblLayout w:type="fixed"/>
      </w:tblPr>
      <w:tblGrid>
        <w:gridCol w:w="1541"/>
        <w:gridCol w:w="1310"/>
        <w:gridCol w:w="984"/>
        <w:gridCol w:w="922"/>
        <w:gridCol w:w="230"/>
      </w:tblGrid>
      <w:tr>
        <w:trPr>
          <w:trHeight w:val="226" w:hRule="exact"/>
        </w:trPr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закупки</w:t>
            </w:r>
          </w:p>
        </w:tc>
        <w:tc>
          <w:tcPr>
            <w:tcBorders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30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252525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Минимальная частота сканирования (Доступно только при выборе Датчик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линейный </w:t>
            </w:r>
            <w:r>
              <w:rPr>
                <w:b/>
                <w:bCs/>
                <w:color w:val="252525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№1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- </w:t>
            </w:r>
            <w:r>
              <w:rPr>
                <w:b/>
                <w:bCs/>
                <w:color w:val="414141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Да)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240" w:right="0" w:firstLine="0"/>
              <w:jc w:val="left"/>
              <w:rPr>
                <w:sz w:val="14"/>
                <w:szCs w:val="14"/>
              </w:rPr>
            </w:pPr>
            <w:r>
              <w:rPr>
                <w:b/>
                <w:bCs/>
                <w:color w:val="252525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Меньше или равно4.0000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color w:val="000000"/>
                <w:spacing w:val="0"/>
                <w:w w:val="100"/>
                <w:position w:val="0"/>
                <w:sz w:val="18"/>
                <w:szCs w:val="18"/>
                <w:shd w:val="clear" w:color="auto" w:fill="auto"/>
                <w:lang w:val="ru-RU" w:eastAsia="ru-RU" w:bidi="ru-RU"/>
              </w:rPr>
              <w:t>МЕГАГЦ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252525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Участник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закупки </w:t>
            </w:r>
            <w:r>
              <w:rPr>
                <w:b/>
                <w:bCs/>
                <w:color w:val="252525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указывает </w:t>
            </w:r>
            <w:r>
              <w:rPr>
                <w:b/>
                <w:bCs/>
                <w:color w:val="414141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в заявке </w:t>
            </w:r>
            <w:r>
              <w:rPr>
                <w:b/>
                <w:bCs/>
                <w:color w:val="252525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конкретное значение </w:t>
            </w:r>
            <w:r>
              <w:rPr>
                <w:b/>
                <w:bCs/>
                <w:color w:val="414141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характеристи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41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252525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Максимальная частота сканирования (Доступно только при выборе Датчик линейный №1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- </w:t>
            </w:r>
            <w:r>
              <w:rPr>
                <w:b/>
                <w:bCs/>
                <w:color w:val="414141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Да)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252525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Больше или равно </w:t>
            </w:r>
            <w:r>
              <w:rPr>
                <w:b/>
                <w:bCs/>
                <w:color w:val="414141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12.0000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5"/>
                <w:szCs w:val="15"/>
              </w:rPr>
            </w:pPr>
            <w:r>
              <w:rPr>
                <w:color w:val="252525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ru-RU" w:eastAsia="ru-RU" w:bidi="ru-RU"/>
              </w:rPr>
              <w:t>МЕГАГЦ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Участник закупки указывает </w:t>
            </w:r>
            <w:r>
              <w:rPr>
                <w:b/>
                <w:bCs/>
                <w:color w:val="252525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 xml:space="preserve">в заявке конкретное значение характеристи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ru-RU" w:eastAsia="ru-RU" w:bidi="ru-RU"/>
              </w:rPr>
              <w:t>КИ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1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239"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Общепризнанные значения разделения десятичной дроби это «запятая».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осуществлено описание объекта закупки согласно позиции КТРУ 26.60.12.132-00000036 - «Система ультразвуковой визуализации универсальная, с питанием от сети».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Характеристики «Максимальная частота сканирования» и «Минимальная частота сканирования» предусмотрены действующей редакцией КТРУ 26.60.12.132-00000036.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Структурированная форма извещения № 0137200001223005303 опубликованная в Единой информационной системе в сфере закупок (далее - ЕИС) полностью соответствует позиции КТРУ и не содержит противоречий и дополнительных характеристик.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Прикрепленный файл это особенности формирования числового значения в печатную форму Описания объекта закупки, формируемую автоматически в региональной системе АИС ШеЬ-торги КС.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 был сформирован в формате ^осх из данных, хранимых в системе с числовым регистром, разделение которого осуществлено «точкой».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печатной форме извещения ЕИС - данный показатель интегрирован без знаков после «точки».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в ЕИС разделение разрядов осуществляется как с использованием «точки», так и с использованием «запятой».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 в своих пояснениях также отметил, что заявитель ИП Кравченко А.В. неоднократно участвовал в закупках, опубликованных Министерством конкурентной политики Калужской области, и у него не возникало вопросов относительно использования данного регистра.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довод жалобы признается необоснованным.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доводам жалобы Заявителя, характеристики, указанные в ТЗ в полном объеме, присутствуют только у одного производителя, в чём усматривается ограничение конкуренции.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материалы дела от заказчика были представлены коммерческие предложения, использованные при обосновании НМЦК, согласно которым под заявленные заказчиком характеристики подходят аппараты двух производителей: «УЗИ-ЭЛЕКТРОН» производитель АО «НИПК «Электрон», "РуСкан 65" производитель АО «НПО «СКАНЕР».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заказчиком также получен ответ от ЗАО «Медиэйс» о соответствии системы ультразвуковой диагностической Н850-Ки8 с принадлежностями производства 8АМ8Ц№О МЕ^I8О^ Со., И^, респ. Корея требованиям извещения.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Также, заказчиком было указано, что под требования ТЗ подходит также система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ультразвуковая АйтШ с принадлежностями в варианте исполнения АйтШ 70, производства Филипс Ультрасаунд, Инк.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Документальных доказательств обратного, в материалы дела от заявителя не представлено.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указанный довод жалобы не нашел своего подтверждения и признается необоснованным.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доводам жалобы Заявителя, в ЕИС/проекте контракта, не указан срок действия и окончания контракта. Что ограничивает права потенциального поставщика и делает невозможным выпуск банковских гарантий.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проекте контракта в Разделе 12 «Срок исполнения контракта. Срок действия Контракта, изменение и расторжение Контракта» указаны все необходимые сроки.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 предусмотрено, что срок исполнения контракта: с даты заключения контракта по 31.12.2024. Контракт вступает в силу с момента его подписания обеими Сторонами и действует до 31.12.2024.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довод жалобы признается необоснованным.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жалобе ИП Кравченко А.В. указывает на необходимость проведения проверки обоснования НМЦК рассматриваемой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со статьей 99 Федерального закона от 05.04.2013 №44-ФЗ, в связи с тем, что контроль в отношении определения и обоснования начальной (максимальной) цены контракта осуществляется органами внутреннего государственного (муниципального) финансового контроля, Калужское УФАС России приходит к выводу о необходимости передачи материалов жалобы предпринимателя в Министерство финансов Калужской области.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 учетом всех изложенных обстоятельств, установленных в ходе рассмотрения жалобы, руководствуясь пунктом 1 части 15 статьи 99, частью 8 статьи 106 Федерального закона от 05.04.2013 № 44-ФЗ, Комиссия Калужского УФАС России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1. Признать жалобу ИП Кравченко А.В.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Передать материалы жалобы ИП Кравченко А.В. в Министерство финансов Калужской области.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 44-ФЗ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54000" distB="192405" distL="0" distR="0" simplePos="0" relativeHeight="125829380" behindDoc="0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254000</wp:posOffset>
                </wp:positionV>
                <wp:extent cx="1673225" cy="22542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322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9.149999999999999pt;margin-top:20.pt;width:131.75pt;height:17.75pt;z-index:-125829373;mso-wrap-distance-left:0;mso-wrap-distance-top:2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5290" distB="635" distL="0" distR="0" simplePos="0" relativeHeight="125829382" behindDoc="0" locked="0" layoutInCell="1" allowOverlap="1">
                <wp:simplePos x="0" y="0"/>
                <wp:positionH relativeFrom="page">
                  <wp:posOffset>3375660</wp:posOffset>
                </wp:positionH>
                <wp:positionV relativeFrom="paragraph">
                  <wp:posOffset>415290</wp:posOffset>
                </wp:positionV>
                <wp:extent cx="1725295" cy="25590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65.80000000000001pt;margin-top:32.700000000000003pt;width:135.84999999999999pt;height:20.150000000000002pt;z-index:-125829371;mso-wrap-distance-left:0;mso-wrap-distance-top:32.700000000000003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0" distB="192405" distL="0" distR="0" simplePos="0" relativeHeight="125829384" behindDoc="0" locked="0" layoutInCell="1" allowOverlap="1">
                <wp:simplePos x="0" y="0"/>
                <wp:positionH relativeFrom="page">
                  <wp:posOffset>5238115</wp:posOffset>
                </wp:positionH>
                <wp:positionV relativeFrom="paragraph">
                  <wp:posOffset>254000</wp:posOffset>
                </wp:positionV>
                <wp:extent cx="975360" cy="22542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Чуриков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12.44999999999999pt;margin-top:20.pt;width:76.799999999999997pt;height:17.75pt;z-index:-125829369;mso-wrap-distance-left:0;mso-wrap-distance-top:20.pt;mso-wrap-distance-right:0;mso-wrap-distance-bottom:15.15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Чуриков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2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Чуриков Максим Александрович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20" w:right="0" w:firstLine="0"/>
        <w:jc w:val="both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ЗАО4Е8323С724Б46А443О45Е904Е2547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62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" w:right="589" w:bottom="1175" w:left="1067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07.1</w:t>
      </w:r>
      <w:r>
        <w:rPr>
          <w:color w:val="919191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31.01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15"/>
        <w:keepNext w:val="0"/>
        <w:keepLines w:val="0"/>
        <w:framePr w:w="1886" w:h="355" w:wrap="none" w:hAnchor="page" w:x="121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44"/>
        <w:keepNext w:val="0"/>
        <w:keepLines w:val="0"/>
        <w:framePr w:w="2717" w:h="403" w:wrap="none" w:hAnchor="page" w:x="5352" w:y="2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15"/>
        <w:keepNext w:val="0"/>
        <w:keepLines w:val="0"/>
        <w:framePr w:w="1262" w:h="355" w:wrap="none" w:hAnchor="page" w:x="828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Магер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4" behindDoc="1" locked="0" layoutInCell="1" allowOverlap="1">
            <wp:simplePos x="0" y="0"/>
            <wp:positionH relativeFrom="page">
              <wp:posOffset>2980055</wp:posOffset>
            </wp:positionH>
            <wp:positionV relativeFrom="margin">
              <wp:posOffset>69850</wp:posOffset>
            </wp:positionV>
            <wp:extent cx="353695" cy="39624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10" w:right="2138" w:bottom="967" w:left="11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70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Магер Александр Александрович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00С23СВС4С5Е1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Е5626ОА1ЕЗВ90В344408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6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5259705</wp:posOffset>
                </wp:positionH>
                <wp:positionV relativeFrom="paragraph">
                  <wp:posOffset>342900</wp:posOffset>
                </wp:positionV>
                <wp:extent cx="938530" cy="225425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85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Ю.П. Умнова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14.15000000000003pt;margin-top:27.pt;width:73.900000000000006pt;height:17.75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Ю.П. Умнова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24.11.2022 по 17.02.2024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6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70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СЕРТИФИКАТЕ ЭП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Умнова Юлия Петровна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72080ЕОВ4С7ЕС37А91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Е6А291СВ52Э78А</w:t>
      </w:r>
    </w:p>
    <w:p>
      <w:pPr>
        <w:pStyle w:val="Style3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3703" w:bottom="10558" w:left="4717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02.02.2023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27.04.2024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1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Исп.Умнова Юлия Петровна тел.(4842) 57-48-50, вн.040-040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7816" w:bottom="1110" w:left="11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738505</wp:posOffset>
              </wp:positionH>
              <wp:positionV relativeFrom="page">
                <wp:posOffset>10016490</wp:posOffset>
              </wp:positionV>
              <wp:extent cx="64643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2023-6418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8.149999999999999pt;margin-top:788.70000000000005pt;width:50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2023-6418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643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64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2023-6418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0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2023-6418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7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7"/>
      <w:szCs w:val="17"/>
      <w:u w:val="none"/>
    </w:rPr>
  </w:style>
  <w:style w:type="character" w:customStyle="1" w:styleId="CharStyle10">
    <w:name w:val="Основной текст (6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4"/>
      <w:szCs w:val="14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8">
    <w:name w:val="Основной текст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Основной текст (4)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1"/>
      <w:szCs w:val="11"/>
      <w:u w:val="none"/>
    </w:rPr>
  </w:style>
  <w:style w:type="character" w:customStyle="1" w:styleId="CharStyle23">
    <w:name w:val="Заголовок №3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7">
    <w:name w:val="Заголовок №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30">
    <w:name w:val="Другое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38">
    <w:name w:val="Основной текст (3)_"/>
    <w:basedOn w:val="DefaultParagraphFont"/>
    <w:link w:val="Style37"/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character" w:customStyle="1" w:styleId="CharStyle45">
    <w:name w:val="Подпись к картинке_"/>
    <w:basedOn w:val="DefaultParagraphFont"/>
    <w:link w:val="Style4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2">
    <w:name w:val="Основной текст (7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spacing w:after="160" w:line="283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7"/>
      <w:szCs w:val="17"/>
      <w:u w:val="none"/>
    </w:rPr>
  </w:style>
  <w:style w:type="paragraph" w:customStyle="1" w:styleId="Style9">
    <w:name w:val="Основной текст (6)"/>
    <w:basedOn w:val="Normal"/>
    <w:link w:val="CharStyle10"/>
    <w:pPr>
      <w:widowControl w:val="0"/>
      <w:shd w:val="clear" w:color="auto" w:fill="auto"/>
      <w:spacing w:after="80" w:line="35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4"/>
      <w:szCs w:val="14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7">
    <w:name w:val="Основной текст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1"/>
      <w:szCs w:val="11"/>
      <w:u w:val="none"/>
    </w:rPr>
  </w:style>
  <w:style w:type="paragraph" w:customStyle="1" w:styleId="Style22">
    <w:name w:val="Заголовок №3"/>
    <w:basedOn w:val="Normal"/>
    <w:link w:val="CharStyle23"/>
    <w:pPr>
      <w:widowControl w:val="0"/>
      <w:shd w:val="clear" w:color="auto" w:fill="auto"/>
      <w:spacing w:after="260"/>
      <w:ind w:left="700" w:right="240"/>
      <w:jc w:val="right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9">
    <w:name w:val="Другое"/>
    <w:basedOn w:val="Normal"/>
    <w:link w:val="CharStyle3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37">
    <w:name w:val="Основной текст (3)"/>
    <w:basedOn w:val="Normal"/>
    <w:link w:val="CharStyle3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26262"/>
      <w:sz w:val="12"/>
      <w:szCs w:val="12"/>
      <w:u w:val="none"/>
    </w:rPr>
  </w:style>
  <w:style w:type="paragraph" w:customStyle="1" w:styleId="Style44">
    <w:name w:val="Подпись к картинке"/>
    <w:basedOn w:val="Normal"/>
    <w:link w:val="CharStyle45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/Relationships>
</file>