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4040" distL="1074420" distR="1059180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821690</wp:posOffset>
                </wp:positionH>
                <wp:positionV relativeFrom="paragraph">
                  <wp:posOffset>622300</wp:posOffset>
                </wp:positionV>
                <wp:extent cx="2416810" cy="18408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40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28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28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52756/23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00000000000003pt;margin-top:49.pt;width:190.30000000000001pt;height:144.95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28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28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52756/23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«ЦСМ»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ти_с8т@П81.ги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«РМА»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гостеШста@тай.ги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поселения Московский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тx@а^т-то8коV8ку.^и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№077/06/106-17400/2023 о нарушении</w:t>
        <w:br/>
        <w:t>законодательства о контрактной системе</w:t>
        <w:br/>
        <w:t>06.12.2023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Э.З. Гугавы,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видеоконференцсвязи),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«ЦСМ»: Т.В. Ивановой (дов. №б/н от 04.12.2023),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«РМА»: Д.А. Кожанова (дов. №КДА/02/2022 от 19.09.2022),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«РМА» (далее — Заявитель) на действия МБУ «ЦСМ» (далее — Заказчик) при проведении электронного аукциона на право заключения государственного контракта на оказание услуг бригады скорой помощи на массовые физкультурно-спортивные мероприятия МБУ «ЦСМ» в 2024 году (Закупка № 0148300014523000203)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запрашиваемые Московским УФАС России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по осуществлению закупок Заказчика нарушены нормы Закона о контрактной системе в результате признания заявки АНО «Клиника Спортивной Медицины» (ИНН 7704279601) соответствующей требованиям извещений и Закона о контрактной системе, несмотря на отсутствие лицензии на медицинскую деятельность: при оказании скорой специализированной медицинской помощи вне медицинской организации, в том числе выездными экстренными консультативными бригадами скорой медицинской помощи, по реаниматологии, педиатрии, травматологии и ортопедии.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28.11.2023 №ИЭА1 заявка АНО «Клиника Спортивной Медицины» признана победителем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4, 5, 18, 30, 42, 49, 54 и 59 ч.1 ст.93 Закона о контрактной системе, заказчик устанавливает единое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в составе извещения о проведении электронного аукциона от 23.11.2023 №ИИ1 предъявлено, в том числе, следующее требование 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участнику закупочной процедуры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наличии действующие лицензии на на осуществление медицинской деятельности: при оказании скорой специализированной медицинской помощи вне медицинской организации, в том числе выездными экстренными консультативными бригадами скорой медицинской помощи, по: анестезиологии и реаниматологии, реаниматологии, педиатрии, травматологии и ортопедии.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п.46 ч.1 ст.12 Федерального закона от 04.05.2011 №99-ФЗ «О лицензировании отдельных видов деятельности» деятельность помедицинская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подлежит обязательному лицензированию.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Приложением к Постановлению Правительства РФ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(далее — Постановление №852) определен перечень работ (услуг), составляющих медицинскую деятельность, в состав которого входит работы (услуги) по скорой медицинской помощи.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 2 и 2.1 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п.12.1 информационной карты закупочной документации установлено следующие требование к участникам закупки, а также представлении сведений в составе заявки, в соответствии со ст. 31 Закона о контрактной системе: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 Действующие лицензии на: 1.лицензия на осуществление медицинской деятельности: при оказании скорой специализированной медицинской помощи вне медицинской организации, в том числе выездными экстренными консультативными бригадами скорой медицинской помощи, по: анестезиологии и реаниматологии, реаниматологии, педиатрии, травматологии и ортопедии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ч.5 ст.49 Закона о контрактной системе лица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 лица.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указал, что согласно сайту Росздравнадзора (</w:t>
      </w:r>
      <w:r>
        <w:fldChar w:fldCharType="begin"/>
      </w:r>
      <w:r>
        <w:rPr/>
        <w:instrText> HYPERLINK "https://roszdravnadzor.gov.ru/services/licenses"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ru-RU" w:eastAsia="ru-RU" w:bidi="ru-RU"/>
        </w:rPr>
        <w:t>ьир8://^о8гД^аVпаДго^.доV.^и/8е^V^се8/1^сеп8е8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у победителя закупочной процедуры АНО «Клиника Спортивной Медицины» отсутствует лицензия на медицинскую деятельность: при оказании скорой специализированной медицинской помощи вне медицинской организации, в том числе выездными экстренными консультативными бригадами скорой медицинской помощи, по реаниматологии, педиатрии, травматологии и ортопедии, ввиду чего такая заявка должна быть признана не соответствующей требованиям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указал, что в составе заявки АНО «Клиника Спортивной Медицины» представлено информационное письмо о привлечении соисполнителя в лице ГБУ «СС и НМП им. А.С. Пучкова», имеющий необходимую лицензию на медицинскую деятельность. Таким образом, с учетом положений п.3.3.4 Проекта государственного контракта о возможности привлечения соисполнителей, заявка АНО «Клиника Спортивной Медицины» признана соответствующей требованиям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свою очередь Комиссия Управления обращает особое внимение, что требование о наличии лицензия на медицинскую деятельность: при оказании скорой специализированной медицинской помощи вне медицинской организации, в том числе выездными экстренными консультативными бригадами скорой медицинской помощи, по реаниматологии, педиатрии, травматологии и ортопедии установлено непосредственно 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 закупочной процедуры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кем фактически является АНО «Клиника Спортивной Медицины», но не ГБУ «СС и НМП им. А.С. Пучкова».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отсутствие вышеуказанной лицензии у АНО «Клиника Спортивной Медицины» свидетельствует о несоответствии такого участника требованиям закупочной документации, а также извещения о проведении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решение закупочной комиссии Заказчика о признании заявки АНО «Клиника Спортивной Медицины» соответствующей принято в нарушение ч.5 ст. 49 Закона о контрактной системе, что содержит признаки состава административного правонарушения, ответственность за которое предусмотрена ч.7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04" w:right="536" w:bottom="976" w:left="109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«РМА» на действия комиссии по осуществлению закупок МБУ «ЦСМ»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закупочной Заказчика нарушения ч.5 ст. 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Закона о контрактной системе Заказчику не выдавать, так как предписание выдано ранее в ходе рассмотрения жалобы ООО «Скорая помощь НОБФ «Альянс» по делу о нарушении Законодательства о контрактной системе № 077/06/106-17265/2023 от 04.12.2023. Кроме того, при исполнении предписания по вышеуказанному делу Заказчику необходимо руководствоваться также позицией контролирующего органа, изложенной в настоящем решении.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98" w:right="532" w:bottom="244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46100" distB="35687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546100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43.pt;width:145.70000000000002pt;height:19.900000000000002pt;z-index:-125829372;mso-wrap-distance-left:0;mso-wrap-distance-top:43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547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585470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1021080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15000000000003pt;margin-top:80.400000000000006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710565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55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6100" distB="356870" distL="0" distR="0" simplePos="0" relativeHeight="125829384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546100</wp:posOffset>
                </wp:positionV>
                <wp:extent cx="113665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9.15000000000003pt;margin-top:43.pt;width:89.5pt;height:19.900000000000002pt;z-index:-125829369;mso-wrap-distance-left:0;mso-wrap-distance-top:43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2151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8" w:right="532" w:bottom="244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4"/>
        <w:keepNext w:val="0"/>
        <w:keepLines w:val="0"/>
        <w:framePr w:w="1910" w:h="566" w:wrap="none" w:vAnchor="text" w:hAnchor="page" w:x="1107" w:y="1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4"/>
        <w:keepNext w:val="0"/>
        <w:keepLines w:val="0"/>
        <w:framePr w:w="1910" w:h="566" w:wrap="none" w:vAnchor="text" w:hAnchor="page" w:x="1107" w:y="1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tbl>
      <w:tblPr>
        <w:tblOverlap w:val="never"/>
        <w:jc w:val="left"/>
        <w:tblLayout w:type="fixed"/>
      </w:tblPr>
      <w:tblGrid>
        <w:gridCol w:w="82"/>
        <w:gridCol w:w="3346"/>
      </w:tblGrid>
      <w:tr>
        <w:trPr>
          <w:trHeight w:val="667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3427" w:h="1373" w:hSpace="14" w:vSpace="816" w:wrap="none" w:vAnchor="text" w:hAnchor="page" w:x="4875" w:y="8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6"/>
              <w:keepNext w:val="0"/>
              <w:keepLines w:val="0"/>
              <w:framePr w:w="3427" w:h="1373" w:hSpace="14" w:vSpace="816" w:wrap="none" w:vAnchor="text" w:hAnchor="page" w:x="4875" w:y="837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ю</w:t>
            </w:r>
            <w:r>
              <w:rPr>
                <w:color w:val="272727"/>
                <w:spacing w:val="0"/>
                <w:w w:val="100"/>
                <w:position w:val="0"/>
                <w:sz w:val="12"/>
                <w:szCs w:val="12"/>
                <w:u w:val="single"/>
                <w:shd w:val="clear" w:color="auto" w:fill="auto"/>
                <w:lang w:val="ru-RU" w:eastAsia="ru-RU" w:bidi="ru-RU"/>
              </w:rPr>
              <w:t>Яжта</w:t>
            </w:r>
            <w:r>
              <w:rPr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й Подлинник электронного документа, подписанного</w:t>
            </w:r>
            <w:r>
              <w:rPr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ЭП, </w:t>
            </w:r>
            <w:r>
              <w:rPr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хранится в системе электронного</w:t>
            </w:r>
          </w:p>
          <w:p>
            <w:pPr>
              <w:pStyle w:val="Style36"/>
              <w:keepNext w:val="0"/>
              <w:keepLines w:val="0"/>
              <w:framePr w:w="3427" w:h="1373" w:hSpace="14" w:vSpace="816" w:wrap="none" w:vAnchor="text" w:hAnchor="page" w:x="4875" w:y="837"/>
              <w:widowControl w:val="0"/>
              <w:shd w:val="clear" w:color="auto" w:fill="auto"/>
              <w:tabs>
                <w:tab w:pos="509" w:val="left"/>
              </w:tabs>
              <w:bidi w:val="0"/>
              <w:spacing w:before="0" w:after="0" w:line="218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272727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ru-RU" w:eastAsia="ru-RU" w:bidi="ru-RU"/>
              </w:rPr>
              <w:t>лтл.</w:t>
            </w:r>
            <w:r>
              <w:rPr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ab/>
              <w:t>документооборота ФАС России</w:t>
            </w:r>
          </w:p>
        </w:tc>
      </w:tr>
      <w:tr>
        <w:trPr>
          <w:trHeight w:val="14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framePr w:w="3427" w:h="1373" w:hSpace="14" w:vSpace="816" w:wrap="none" w:vAnchor="text" w:hAnchor="page" w:x="4875" w:y="8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000000"/>
            <w:vAlign w:val="top"/>
          </w:tcPr>
          <w:p>
            <w:pPr>
              <w:pStyle w:val="Style36"/>
              <w:keepNext w:val="0"/>
              <w:keepLines w:val="0"/>
              <w:framePr w:w="3427" w:h="1373" w:hSpace="14" w:vSpace="816" w:wrap="none" w:vAnchor="text" w:hAnchor="page" w:x="4875" w:y="837"/>
              <w:widowControl w:val="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rFonts w:ascii="Georgia" w:eastAsia="Georgia" w:hAnsi="Georgia" w:cs="Georgia"/>
                <w:color w:val="E9E9E9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СВЕДЕНИЯ О СЕРТИФИКАТЕ </w:t>
            </w:r>
            <w:r>
              <w:rPr>
                <w:rFonts w:ascii="Georgia" w:eastAsia="Georgia" w:hAnsi="Georgia" w:cs="Georgia"/>
                <w:color w:val="FFFFFF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ЭП</w:t>
            </w:r>
          </w:p>
        </w:tc>
      </w:tr>
      <w:tr>
        <w:trPr>
          <w:trHeight w:val="557" w:hRule="exact"/>
        </w:trPr>
        <w:tc>
          <w:tcPr>
            <w:gridSpan w:val="2"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framePr w:w="3427" w:h="1373" w:hSpace="14" w:vSpace="816" w:wrap="none" w:vAnchor="text" w:hAnchor="page" w:x="4875" w:y="8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5D5D5D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Кому выдан: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ru-RU" w:eastAsia="ru-RU" w:bidi="ru-RU"/>
              </w:rPr>
              <w:t>Гугава Эдуард Звиадович</w:t>
            </w:r>
          </w:p>
          <w:p>
            <w:pPr>
              <w:pStyle w:val="Style36"/>
              <w:keepNext w:val="0"/>
              <w:keepLines w:val="0"/>
              <w:framePr w:w="3427" w:h="1373" w:hSpace="14" w:vSpace="816" w:wrap="none" w:vAnchor="text" w:hAnchor="page" w:x="4875" w:y="8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Сертификат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№ </w:t>
            </w:r>
            <w:r>
              <w:rPr>
                <w:rFonts w:ascii="Arial" w:eastAsia="Arial" w:hAnsi="Arial" w:cs="Arial"/>
                <w:color w:val="272727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6281 Е5АЕВ0О2ОВЕ2АВВСЕ65248493Е7С</w:t>
            </w:r>
          </w:p>
          <w:p>
            <w:pPr>
              <w:pStyle w:val="Style36"/>
              <w:keepNext w:val="0"/>
              <w:keepLines w:val="0"/>
              <w:framePr w:w="3427" w:h="1373" w:hSpace="14" w:vSpace="816" w:wrap="none" w:vAnchor="text" w:hAnchor="page" w:x="4875" w:y="8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5D5D5D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Действителен 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с </w:t>
            </w:r>
            <w:r>
              <w:rPr>
                <w:rFonts w:ascii="Arial" w:eastAsia="Arial" w:hAnsi="Arial" w:cs="Arial"/>
                <w:color w:val="5D5D5D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>13.04.2023 по 06.07.2024</w:t>
            </w:r>
          </w:p>
        </w:tc>
      </w:tr>
    </w:tbl>
    <w:p>
      <w:pPr>
        <w:framePr w:w="3427" w:h="1373" w:hSpace="14" w:vSpace="816" w:wrap="none" w:vAnchor="text" w:hAnchor="page" w:x="4875" w:y="837"/>
        <w:widowControl w:val="0"/>
        <w:spacing w:line="1" w:lineRule="exact"/>
      </w:pPr>
    </w:p>
    <w:p>
      <w:pPr>
        <w:pStyle w:val="Style48"/>
        <w:keepNext w:val="0"/>
        <w:keepLines w:val="0"/>
        <w:framePr w:w="3398" w:h="466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48"/>
        <w:keepNext w:val="0"/>
        <w:keepLines w:val="0"/>
        <w:framePr w:w="3398" w:h="466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48"/>
        <w:keepNext w:val="0"/>
        <w:keepLines w:val="0"/>
        <w:framePr w:w="3398" w:h="466" w:wrap="none" w:vAnchor="text" w:hAnchor="page" w:x="49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framePr w:w="1373" w:h="398" w:wrap="none" w:vAnchor="text" w:hAnchor="page" w:x="10001" w:y="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3" w:right="527" w:bottom="101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10111740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2023-59918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79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2023-59918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10119360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2023-59918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96.80000000000007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2023-59918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65000000000003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7">
    <w:name w:val="Другое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9">
    <w:name w:val="Подпись к таблице_"/>
    <w:basedOn w:val="DefaultParagraphFont"/>
    <w:link w:val="Style48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300" w:line="257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6">
    <w:name w:val="Другое"/>
    <w:basedOn w:val="Normal"/>
    <w:link w:val="CharStyle37"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8">
    <w:name w:val="Подпись к таблице"/>
    <w:basedOn w:val="Normal"/>
    <w:link w:val="CharStyle4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