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1838325" distL="1074420" distR="1059180" simplePos="0" relativeHeight="125829378" behindDoc="0" locked="0" layoutInCell="1" allowOverlap="1">
            <wp:simplePos x="0" y="0"/>
            <wp:positionH relativeFrom="page">
              <wp:posOffset>1783080</wp:posOffset>
            </wp:positionH>
            <wp:positionV relativeFrom="paragraph">
              <wp:posOffset>12700</wp:posOffset>
            </wp:positionV>
            <wp:extent cx="511810" cy="6096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09600" distB="0" distL="114300" distR="114300" simplePos="0" relativeHeight="125829379" behindDoc="0" locked="0" layoutInCell="1" allowOverlap="1">
                <wp:simplePos x="0" y="0"/>
                <wp:positionH relativeFrom="page">
                  <wp:posOffset>822960</wp:posOffset>
                </wp:positionH>
                <wp:positionV relativeFrom="paragraph">
                  <wp:posOffset>622300</wp:posOffset>
                </wp:positionV>
                <wp:extent cx="2416810" cy="183515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16810" cy="18351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2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е-таП: 1о77@Га8.еоу.т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10" w:val="left"/>
                              </w:tabs>
                              <w:bidi w:val="0"/>
                              <w:spacing w:before="0" w:after="18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1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2.12.2023</w:t>
                              <w:tab/>
                            </w:r>
                            <w:r>
                              <w:fldChar w:fldCharType="end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№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52990/23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64.799999999999997pt;margin-top:49.pt;width:190.30000000000001pt;height:144.5pt;z-index:-125829374;mso-wrap-distance-left:9.pt;mso-wrap-distance-top:48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59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2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>е-таП: 1о77@Га8.еоу.т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10" w:val="left"/>
                        </w:tabs>
                        <w:bidi w:val="0"/>
                        <w:spacing w:before="0" w:after="18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1</w:t>
                      </w: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2.12.2023</w:t>
                        <w:tab/>
                      </w:r>
                      <w:r>
                        <w:fldChar w:fldCharType="end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№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52990/23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ФГКУ «Росгранстрой»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тГо@го8дгап81гоу.ги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 Байрамуков А.М.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агге1Ъаугас@дтай.сот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«РТС-тендер»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380" w:line="240" w:lineRule="auto"/>
        <w:ind w:left="5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тГо@г18-1:епдег.ги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880" w:val="left"/>
        </w:tabs>
        <w:bidi w:val="0"/>
        <w:spacing w:before="0" w:after="0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№077/06/106-17456/2023 о нарушении</w:t>
        <w:br/>
        <w:t>законодательства о контрактной системе</w:t>
        <w:br/>
        <w:t>07.12.2023</w:t>
        <w:tab/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Председательствующего: главного государственного инспектора отдела обжалования государственных закупок С.И. Казарина,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специалиста-эксперта отдела обжалования государственных закупок А.А. Матюшенко,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обжалования государственных закупок Е.Д. Мартьяновой,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проводилось дистанционно (посредством видеоконференцсвязи),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представителей ФГКУ «Росгранстрой»,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отсутствие представителей ИП Байрамуков А.М., о времени и порядке заседания Комиссии Управления уведомленных надлежащим образом посредством размещения сведений в Единой информационной системе,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ИП Байрамуков А.М. (далее — Заявитель) на действия ФГКУ «Росгранстрой» (далее — Заказчик) при проведении электронного аукциона на право заключения государственного контракта на оказание услуг по содержанию в чистоте помещений для нужд ФГКУ «Росгранстрой» (Закупка № 0373100063323000094) (далее - аукцион)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- Закон о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line="240" w:lineRule="auto"/>
        <w:ind w:left="0" w:right="0"/>
        <w:jc w:val="both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|||||||||||||||||||||||||||</w:t>
      </w:r>
      <w:bookmarkEnd w:id="0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контрактной системе),</w:t>
      </w:r>
    </w:p>
    <w:p>
      <w:pPr>
        <w:pStyle w:val="Style21"/>
        <w:keepNext/>
        <w:keepLines/>
        <w:widowControl w:val="0"/>
        <w:shd w:val="clear" w:color="auto" w:fill="auto"/>
        <w:bidi w:val="0"/>
        <w:spacing w:before="0"/>
        <w:ind w:left="0" w:right="0" w:firstLine="0"/>
        <w:jc w:val="center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  <w:bookmarkEnd w:id="2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Московское УФАС России поступила жалоба Заявителя на действия Заказчика при проведении вышеуказанного аукциона.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A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Заказчиком представлены документы и сведения, запрашиваемые Московским УФАС России.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обжалует действия Заказчика, выразившиеся в утверждении извещения в нарушение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составе жалобы Заявитель указывает, что Заказчиком неправомерно не установлены дополнительные требования к участникам закупочной процедуры о наличии у участника опыта оказания услуг в соответствии с п.36 Приложения «Дополнительные требования к участникам закупки отдельных видов товаров, работ, услуг для обеспечения государственных и муниципальных нужд» (далее — Приложение) Постановления Правительства №2571 «О дополнительных требованиях к участникам закупки отдельных видов товаров, работ, услуг для обеспечения государственных и муниципальных нужд, а также об информации и документах, подтверждающих соответствие участников закупки указанным дополнительным требованиям, и признании утратившими силу некоторых актов и отдельных положений актов Правительства Российской Федерации» (далее — Постановление №2571).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п.12 ч.1 ст.42 Закона о контрактной системе извещение об осуществлении закупки, должно содержать требования, предъявляемые к участникам закупки в соответствии с ч.1 ст.31 Закона о контрактной системе, требования, предъявляемые к участникам закупки в соответствии с ч.2 и 2.1 (при наличии таких требований) ст.31 Закона о контрактной системе, и исчерпывающий перечень документов, подтверждающих соответствие участника закупки таким требованиям, а также требование, предъявляемое к участникам закупки в соответствии с ч.1.1 ст. 31 Закона о контрактной системе (при наличии такого требования).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ч.2 ст.31 Закона о контрактной системе Правительство Российской Федерации вправе устанавливать к участникам закупок отдельных видов товаров, работ, услуг дополнительные требования, в том числе к наличию опыта работы, связанного с предметом контракта, и деловой репутации.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ч.3 ст.31 Закона о контрактной системе перечень информации и документов, которые подтверждают соответствие участников закупок дополнительным требованиям, указанным в ч.2 и 2.1 ст.31 Закона о контрактной системе, устанавливается Правительством Российской Федерации.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ч.4 ст.31 Закона о контрактной системе в случае установления Правительством Российской Федерации в соответствии с ч.2 ст.31 Закона о контрактной системе дополнительных требований к участникам закупок заказчики при определении поставщиков (подрядчиков, исполнителей) обязаны устанавливать такие дополнительные требования.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этим пп.«а» п.1 Постановления №2571 установлено, что к участникам закупки отдельных видов товаров, работ, услуг предъявляются дополнительные требования согласно приложению «Дополнительные требования к участникам закупки отдельных видов товаров, работ, услуг для обеспечения государственных и муниципальных нужд» (далее - Приложение). Соответствие участников закупки указанным дополнительным требованиям подтверждается информацией и документами, предусмотренными Приложением.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пп.«а» п.3 Постановления №2571 положения Постановления №2571 применяются при проведении конкурентных способов определения поставщиков (подрядчиков, исполнителей), при этом: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21" w:val="left"/>
        </w:tabs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позиция Приложения применяется с учетом положений п.3 Постановления №2571 в случае, если объект закупки включает один или несколько закупаемых товаров, работ, услуг, указанных в приложении в соответствующей позиции графы «Наименование отдельных видов товаров, работ, услуг, являющихся объектом закупки, наименование товаров, работ, услуг, являющихся объектом отдельных видов закупок»;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21" w:val="left"/>
        </w:tabs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позиции 14, 15 и 36 приложения применяются в случае, если при осуществлении закупки начальная (максимальная) цена контракта превышает 1 млн. рублей.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п.36 Приложения при проведении закупочной процедуры объектом которой являются услуги по уборке зданий, сооружений, прилегающих к ним территорий к участникам закупочной процедуры предъявляются дополнительные требования о наличии опыта исполнения участником закупки договора, предусматривающего оказание услуг по уборке зданий, сооружений, прилегающих к ним территорий.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п.5 ч.1 ст.42 Закона о контрактной системе извещение об осуществлении закупки должно содержать наименование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ч.6 ст.23 Закона о контрактной системе,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группировочные наименования.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00"/>
        <w:jc w:val="both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Согласно п.9 ч.1 ст.42 Закона о контрактной системе извещение об осуществлении закупки должно содержать информацию о начальной (максимальной) цене контракта (цена отдельных этапов исполнения контракта, если проектом контракта предусмотрены такие этапы), источнике финансирования, наименовании валюты в соответствии с общероссийским классификатором валют. В случае, предусмотренном ч.24 ст.22 Закона о контрактной системе, указываются начальная цена единицы товара, работы, услуги, а также начальная сумма цен указанных единиц и максимальное значение цены контракта. В случаях, установленных Правительством Российской Федерации в соответствии с ч.2 ст.34 Закона о контрактной системе, указываются ориентировочное значение цены контракта либо </w:t>
      </w:r>
      <w:r>
        <w:rPr>
          <w:rFonts w:ascii="Cambria" w:eastAsia="Cambria" w:hAnsi="Cambria" w:cs="Cambria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2023-60142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формула цены и максимальное значение цены контракта.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установлено, что, согласно извещению об осуществлении закупки, объектом закупочной процедуры является оказание услуг по содержанию в чистоте помещений для нужд ФГКУ Росгранстрой, начальная (максимальная) цена контракта составляет 11 778 310,64 руб., при этом дополнительные требования к участникам закупки в соответствии с п.36 Приложения Заказчиком не устанавливались.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Заказчика пояснил, что п.36 Приложения включен в Раздел VI «Дополнительные требования к участникам закупки в сфере здравоохранения, образования, науки, обеспечения санитарно</w:t>
        <w:softHyphen/>
        <w:t>эпидемиологического благополучия населения, охраны, информация и документы, подтверждающие соответствие участников закупок таким дополнительным требованиям» Приложения, ввиду чего дополнительные требования к участникам закупки по п.36 Приложения не могут быть установлены Заказчиком, так как Заказчик не относится к организациям в сфере здравоохранения, образования, науки, обеспечения санитарно-эпидемиологического благополучия населения, охраны.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отмечает, что, согласно п.6.1 письма Минфина России 24-01-09/10138 от 14.02.2022, вид или сфера деятельности заказчика не образует условия применения дополнительных требований к участникам закупки. Наименования разделов Приложения сформированы в отношении сферы закупки (сферы закупаемых товаров, работ, услуг) и не предусматривают соотнесения с видами или сферами деятельности заказчика.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дополнительные требования к участникам необходимо устанавливать при любых конкурентных процедурах, если объект закупки включен в Приложение и в ряде случаев превышает определенную начальную (максимальную) цену контракта.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связи с вышеизложенным Комиссия Управления приходит к выводу, что Заказчику надлежало установить дополнительные требования к участникам закупки в соответствии с п.36 Приложения к Постановлению № 2571.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Комиссия Управления приходит к выводу о нарушении Заказчика ч.4 ст.31, п.12 ч.1 ст.42 Закона о контрактной системе, что также свидетельствует о наличии в действиях Заказчика признаков состава административного правонарушения, ответственность за которое предусмотрена частью ч.1.4 ст.7.30 Кодекса Российской Федерации об административных правонарушениях.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  <w:sectPr>
          <w:headerReference w:type="default" r:id="rId7"/>
          <w:footerReference w:type="default" r:id="rId8"/>
          <w:headerReference w:type="even" r:id="rId9"/>
          <w:footerReference w:type="even" r:id="rId10"/>
          <w:headerReference w:type="first" r:id="rId11"/>
          <w:footerReference w:type="first" r:id="rId12"/>
          <w:footnotePr>
            <w:pos w:val="pageBottom"/>
            <w:numFmt w:val="decimal"/>
            <w:numRestart w:val="continuous"/>
          </w:footnotePr>
          <w:pgSz w:w="11900" w:h="16840"/>
          <w:pgMar w:top="979" w:right="531" w:bottom="876" w:left="1101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21"/>
        <w:keepNext/>
        <w:keepLines/>
        <w:widowControl w:val="0"/>
        <w:shd w:val="clear" w:color="auto" w:fill="auto"/>
        <w:bidi w:val="0"/>
        <w:spacing w:before="0"/>
        <w:ind w:left="0" w:right="0" w:firstLine="0"/>
        <w:jc w:val="center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РЕШИЛА:</w:t>
      </w:r>
      <w:bookmarkEnd w:id="4"/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11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жалобу ИП Байрамуков А.М. на действия ФГКУ «Росгранстрой» обоснованной.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11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в действиях Заказчика нарушение ч.4 ст.31, п.12 ч.1 ст.42 Закона о контрактной системе.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11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Выдать Заказчику обязательное для исполнения предписание об устранении нарушений законодательства о контрактной системе.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11" w:val="left"/>
        </w:tabs>
        <w:bidi w:val="0"/>
        <w:spacing w:before="0" w:after="30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установленном гл. 24 АПК РФ.</w:t>
      </w:r>
    </w:p>
    <w:p>
      <w:pPr>
        <w:widowControl w:val="0"/>
        <w:spacing w:line="1" w:lineRule="exact"/>
        <w:sectPr>
          <w:headerReference w:type="default" r:id="rId13"/>
          <w:footerReference w:type="default" r:id="rId14"/>
          <w:headerReference w:type="even" r:id="rId15"/>
          <w:footerReference w:type="even" r:id="rId16"/>
          <w:footnotePr>
            <w:pos w:val="pageBottom"/>
            <w:numFmt w:val="decimal"/>
            <w:numRestart w:val="continuous"/>
          </w:footnotePr>
          <w:pgSz w:w="11900" w:h="16840"/>
          <w:pgMar w:top="979" w:right="531" w:bottom="876" w:left="1101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558800" distB="356870" distL="0" distR="0" simplePos="0" relativeHeight="125829381" behindDoc="0" locked="0" layoutInCell="1" allowOverlap="1">
                <wp:simplePos x="0" y="0"/>
                <wp:positionH relativeFrom="page">
                  <wp:posOffset>732790</wp:posOffset>
                </wp:positionH>
                <wp:positionV relativeFrom="paragraph">
                  <wp:posOffset>558800</wp:posOffset>
                </wp:positionV>
                <wp:extent cx="1896110" cy="25273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9611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57.700000000000003pt;margin-top:44.pt;width:149.30000000000001pt;height:19.900000000000002pt;z-index:-125829372;mso-wrap-distance-left:0;mso-wrap-distance-top:44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631825" distB="0" distL="0" distR="1789430" simplePos="0" relativeHeight="125829383" behindDoc="0" locked="0" layoutInCell="1" allowOverlap="1">
            <wp:simplePos x="0" y="0"/>
            <wp:positionH relativeFrom="page">
              <wp:posOffset>3103880</wp:posOffset>
            </wp:positionH>
            <wp:positionV relativeFrom="paragraph">
              <wp:posOffset>631825</wp:posOffset>
            </wp:positionV>
            <wp:extent cx="353695" cy="536575"/>
            <wp:wrapTopAndBottom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3567430</wp:posOffset>
                </wp:positionH>
                <wp:positionV relativeFrom="paragraph">
                  <wp:posOffset>1034415</wp:posOffset>
                </wp:positionV>
                <wp:extent cx="1280160" cy="103505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80.90000000000003pt;margin-top:81.450000000000003pt;width:100.8pt;height:8.15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3521710</wp:posOffset>
                </wp:positionH>
                <wp:positionV relativeFrom="paragraph">
                  <wp:posOffset>723265</wp:posOffset>
                </wp:positionV>
                <wp:extent cx="1725295" cy="255905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77.30000000000001pt;margin-top:56.950000000000003pt;width:135.84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558800" distB="356870" distL="0" distR="0" simplePos="0" relativeHeight="125829384" behindDoc="0" locked="0" layoutInCell="1" allowOverlap="1">
                <wp:simplePos x="0" y="0"/>
                <wp:positionH relativeFrom="page">
                  <wp:posOffset>6182360</wp:posOffset>
                </wp:positionH>
                <wp:positionV relativeFrom="paragraph">
                  <wp:posOffset>558800</wp:posOffset>
                </wp:positionV>
                <wp:extent cx="1029970" cy="252730"/>
                <wp:wrapTopAndBottom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997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С.И. Казарин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486.80000000000001pt;margin-top:44.pt;width:81.100000000000009pt;height:19.900000000000002pt;z-index:-125829369;mso-wrap-distance-left:0;mso-wrap-distance-top:44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С.И. Казарин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КАЗАРИН СЕРГЕЙ ИГОРЕВИЧ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00СА17306423В8С790А31806189СЭЕ338Е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24.01.2023 </w:t>
      </w:r>
      <w:r>
        <w:rPr>
          <w:color w:val="7D7D7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18.04.2024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820"/>
        <w:jc w:val="left"/>
      </w:pPr>
      <w:r>
        <w:drawing>
          <wp:anchor distT="0" distB="0" distL="114300" distR="1903730" simplePos="0" relativeHeight="125829386" behindDoc="0" locked="0" layoutInCell="1" allowOverlap="1">
            <wp:simplePos x="0" y="0"/>
            <wp:positionH relativeFrom="page">
              <wp:posOffset>3070860</wp:posOffset>
            </wp:positionH>
            <wp:positionV relativeFrom="paragraph">
              <wp:posOffset>25400</wp:posOffset>
            </wp:positionV>
            <wp:extent cx="389890" cy="572770"/>
            <wp:wrapSquare wrapText="right"/>
            <wp:docPr id="31" name="Shape 3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box 32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3567430</wp:posOffset>
                </wp:positionH>
                <wp:positionV relativeFrom="paragraph">
                  <wp:posOffset>464185</wp:posOffset>
                </wp:positionV>
                <wp:extent cx="1280160" cy="103505"/>
                <wp:wrapNone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AEAEA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О СЕРТИФИКАТЕ </w:t>
                            </w: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280.90000000000003pt;margin-top:36.550000000000004pt;width:100.8pt;height:8.15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AEAEA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СВЕДЕНИЯ О СЕРТИФИКАТЕ </w:t>
                      </w: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3521710</wp:posOffset>
                </wp:positionH>
                <wp:positionV relativeFrom="paragraph">
                  <wp:posOffset>153670</wp:posOffset>
                </wp:positionV>
                <wp:extent cx="1725295" cy="255905"/>
                <wp:wrapNone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277.30000000000001pt;margin-top:12.1pt;width:135.84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А.А. Матюшенко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Матюшенко Александр Александрович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3C3C3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3C3C3C"/>
          <w:spacing w:val="0"/>
          <w:w w:val="100"/>
          <w:position w:val="0"/>
          <w:shd w:val="clear" w:color="auto" w:fill="auto"/>
          <w:lang w:val="ru-RU" w:eastAsia="ru-RU" w:bidi="ru-RU"/>
        </w:rPr>
        <w:t>44СЕЭ19Э689ЕВ23598ВССВЕ99Е1С6Е2С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Действителен с 10.04.2023 по 03.07.2024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90" w:line="240" w:lineRule="auto"/>
        <w:ind w:left="0" w:right="0" w:firstLine="820"/>
        <w:jc w:val="left"/>
      </w:pPr>
      <w:r>
        <w:drawing>
          <wp:anchor distT="0" distB="0" distL="114300" distR="1921510" simplePos="0" relativeHeight="125829387" behindDoc="0" locked="0" layoutInCell="1" allowOverlap="1">
            <wp:simplePos x="0" y="0"/>
            <wp:positionH relativeFrom="page">
              <wp:posOffset>3128645</wp:posOffset>
            </wp:positionH>
            <wp:positionV relativeFrom="paragraph">
              <wp:posOffset>76200</wp:posOffset>
            </wp:positionV>
            <wp:extent cx="311150" cy="365760"/>
            <wp:wrapSquare wrapText="right"/>
            <wp:docPr id="37" name="Shape 3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Picture box 38"/>
                    <pic:cNvPicPr/>
                  </pic:nvPicPr>
                  <pic:blipFill>
                    <a:blip r:embed="rId21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3521710</wp:posOffset>
                </wp:positionH>
                <wp:positionV relativeFrom="paragraph">
                  <wp:posOffset>146050</wp:posOffset>
                </wp:positionV>
                <wp:extent cx="1725295" cy="255905"/>
                <wp:wrapNone/>
                <wp:docPr id="39" name="Shape 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5" type="#_x0000_t202" style="position:absolute;margin-left:277.30000000000001pt;margin-top:11.5pt;width:135.84999999999999pt;height:20.15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Е.Д. Мартьянова</w:t>
      </w:r>
    </w:p>
    <w:p>
      <w:pPr>
        <w:pStyle w:val="Style33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51" w:line="240" w:lineRule="auto"/>
        <w:ind w:right="0" w:firstLine="0"/>
        <w:jc w:val="left"/>
      </w:pP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Мартьянова Елена Дмитриевна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5252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3C3C3C"/>
          <w:spacing w:val="0"/>
          <w:w w:val="100"/>
          <w:position w:val="0"/>
          <w:shd w:val="clear" w:color="auto" w:fill="auto"/>
          <w:lang w:val="ru-RU" w:eastAsia="ru-RU" w:bidi="ru-RU"/>
        </w:rPr>
        <w:t>0092302А1Е2Е82694604ЕЕЕ7722Э2557ЕЕ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190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3C3C3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05.12.2023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по 27.02.2025</w:t>
      </w:r>
    </w:p>
    <w:p>
      <w:pPr>
        <w:pStyle w:val="Style36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 Матюшенко А.А., 8(495) 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58" w:right="527" w:bottom="1158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10135870</wp:posOffset>
              </wp:positionV>
              <wp:extent cx="719455" cy="10033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94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ru-RU" w:eastAsia="ru-RU" w:bidi="ru-RU"/>
                            </w:rPr>
                            <w:t>2023-60142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7.pt;margin-top:798.10000000000002pt;width:56.649999999999999pt;height:7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ru-RU" w:eastAsia="ru-RU" w:bidi="ru-RU"/>
                      </w:rPr>
                      <w:t>2023-60142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721995</wp:posOffset>
              </wp:positionH>
              <wp:positionV relativeFrom="page">
                <wp:posOffset>10200640</wp:posOffset>
              </wp:positionV>
              <wp:extent cx="725170" cy="10033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2023-60142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56.850000000000001pt;margin-top:803.20000000000005pt;width:57.100000000000001pt;height:7.90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2023-60142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10135870</wp:posOffset>
              </wp:positionV>
              <wp:extent cx="719455" cy="100330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94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ru-RU" w:eastAsia="ru-RU" w:bidi="ru-RU"/>
                            </w:rPr>
                            <w:t>2023-60142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57.pt;margin-top:798.10000000000002pt;width:56.649999999999999pt;height:7.9000000000000004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ru-RU" w:eastAsia="ru-RU" w:bidi="ru-RU"/>
                      </w:rPr>
                      <w:t>2023-60142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4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10135870</wp:posOffset>
              </wp:positionV>
              <wp:extent cx="719455" cy="100330"/>
              <wp:wrapNone/>
              <wp:docPr id="19" name="Shape 1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94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ru-RU" w:eastAsia="ru-RU" w:bidi="ru-RU"/>
                            </w:rPr>
                            <w:t>2023-60142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5" type="#_x0000_t202" style="position:absolute;margin-left:57.pt;margin-top:798.10000000000002pt;width:56.649999999999999pt;height:7.9000000000000004pt;z-index:-18874404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ru-RU" w:eastAsia="ru-RU" w:bidi="ru-RU"/>
                      </w:rPr>
                      <w:t>2023-60142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3928745</wp:posOffset>
              </wp:positionH>
              <wp:positionV relativeFrom="page">
                <wp:posOffset>362585</wp:posOffset>
              </wp:positionV>
              <wp:extent cx="57785" cy="10350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309.35000000000002pt;margin-top:28.550000000000001pt;width:4.54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3927475</wp:posOffset>
              </wp:positionH>
              <wp:positionV relativeFrom="page">
                <wp:posOffset>519430</wp:posOffset>
              </wp:positionV>
              <wp:extent cx="57785" cy="103505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309.25pt;margin-top:40.899999999999999pt;width:4.5499999999999998pt;height:8.1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3927475</wp:posOffset>
              </wp:positionH>
              <wp:positionV relativeFrom="page">
                <wp:posOffset>519430</wp:posOffset>
              </wp:positionV>
              <wp:extent cx="57785" cy="103505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309.25pt;margin-top:40.899999999999999pt;width:4.5499999999999998pt;height:8.1500000000000004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2" behindDoc="1" locked="0" layoutInCell="1" allowOverlap="1">
              <wp:simplePos x="0" y="0"/>
              <wp:positionH relativeFrom="page">
                <wp:posOffset>3927475</wp:posOffset>
              </wp:positionH>
              <wp:positionV relativeFrom="page">
                <wp:posOffset>519430</wp:posOffset>
              </wp:positionV>
              <wp:extent cx="57785" cy="103505"/>
              <wp:wrapNone/>
              <wp:docPr id="17" name="Shape 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3" type="#_x0000_t202" style="position:absolute;margin-left:309.25pt;margin-top:40.899999999999999pt;width:4.5499999999999998pt;height:8.1500000000000004pt;z-index:-18874405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character" w:customStyle="1" w:styleId="CharStyle7">
    <w:name w:val="Основной текст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1">
    <w:name w:val="Подпись к картинке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52525"/>
      <w:sz w:val="12"/>
      <w:szCs w:val="12"/>
      <w:u w:val="none"/>
    </w:rPr>
  </w:style>
  <w:style w:type="character" w:customStyle="1" w:styleId="CharStyle15">
    <w:name w:val="Колонтитул (2)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9">
    <w:name w:val="Заголовок №1_"/>
    <w:basedOn w:val="DefaultParagraphFont"/>
    <w:link w:val="Style18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22">
    <w:name w:val="Заголовок №2_"/>
    <w:basedOn w:val="DefaultParagraphFont"/>
    <w:link w:val="Style2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7">
    <w:name w:val="Основной текст (2)_"/>
    <w:basedOn w:val="DefaultParagraphFont"/>
    <w:link w:val="Style26"/>
    <w:rPr>
      <w:rFonts w:ascii="Arial" w:eastAsia="Arial" w:hAnsi="Arial" w:cs="Arial"/>
      <w:b w:val="0"/>
      <w:bCs w:val="0"/>
      <w:i w:val="0"/>
      <w:iCs w:val="0"/>
      <w:smallCaps w:val="0"/>
      <w:strike w:val="0"/>
      <w:color w:val="616161"/>
      <w:sz w:val="12"/>
      <w:szCs w:val="12"/>
      <w:u w:val="none"/>
    </w:rPr>
  </w:style>
  <w:style w:type="character" w:customStyle="1" w:styleId="CharStyle34">
    <w:name w:val="Основной текст (5)_"/>
    <w:basedOn w:val="DefaultParagraphFont"/>
    <w:link w:val="Style33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37">
    <w:name w:val="Основной текст (4)_"/>
    <w:basedOn w:val="DefaultParagraphFont"/>
    <w:link w:val="Style3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spacing w:after="14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paragraph" w:customStyle="1" w:styleId="Style6">
    <w:name w:val="Основной текст"/>
    <w:basedOn w:val="Normal"/>
    <w:link w:val="CharStyle7"/>
    <w:pPr>
      <w:widowControl w:val="0"/>
      <w:shd w:val="clear" w:color="auto" w:fill="auto"/>
      <w:spacing w:line="252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0">
    <w:name w:val="Подпись к картинке"/>
    <w:basedOn w:val="Normal"/>
    <w:link w:val="CharStyle11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52525"/>
      <w:sz w:val="12"/>
      <w:szCs w:val="12"/>
      <w:u w:val="none"/>
    </w:rPr>
  </w:style>
  <w:style w:type="paragraph" w:customStyle="1" w:styleId="Style14">
    <w:name w:val="Колонтитул (2)"/>
    <w:basedOn w:val="Normal"/>
    <w:link w:val="CharStyle1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8">
    <w:name w:val="Заголовок №1"/>
    <w:basedOn w:val="Normal"/>
    <w:link w:val="CharStyle19"/>
    <w:pPr>
      <w:widowControl w:val="0"/>
      <w:shd w:val="clear" w:color="auto" w:fill="auto"/>
      <w:spacing w:after="280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21">
    <w:name w:val="Заголовок №2"/>
    <w:basedOn w:val="Normal"/>
    <w:link w:val="CharStyle22"/>
    <w:pPr>
      <w:widowControl w:val="0"/>
      <w:shd w:val="clear" w:color="auto" w:fill="auto"/>
      <w:spacing w:after="300" w:line="252" w:lineRule="auto"/>
      <w:jc w:val="center"/>
      <w:outlineLvl w:val="1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26">
    <w:name w:val="Основной текст (2)"/>
    <w:basedOn w:val="Normal"/>
    <w:link w:val="CharStyle27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616161"/>
      <w:sz w:val="12"/>
      <w:szCs w:val="12"/>
      <w:u w:val="none"/>
    </w:rPr>
  </w:style>
  <w:style w:type="paragraph" w:customStyle="1" w:styleId="Style33">
    <w:name w:val="Основной текст (5)"/>
    <w:basedOn w:val="Normal"/>
    <w:link w:val="CharStyle34"/>
    <w:pPr>
      <w:widowControl w:val="0"/>
      <w:shd w:val="clear" w:color="auto" w:fill="auto"/>
      <w:spacing w:after="80"/>
      <w:ind w:left="45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36">
    <w:name w:val="Основной текст (4)"/>
    <w:basedOn w:val="Normal"/>
    <w:link w:val="CharStyle37"/>
    <w:pPr>
      <w:widowControl w:val="0"/>
      <w:shd w:val="clear" w:color="auto" w:fill="auto"/>
      <w:spacing w:after="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header" Target="header3.xml"/><Relationship Id="rId12" Type="http://schemas.openxmlformats.org/officeDocument/2006/relationships/footer" Target="footer3.xml"/><Relationship Id="rId13" Type="http://schemas.openxmlformats.org/officeDocument/2006/relationships/header" Target="header4.xml"/><Relationship Id="rId14" Type="http://schemas.openxmlformats.org/officeDocument/2006/relationships/footer" Target="footer4.xml"/><Relationship Id="rId15" Type="http://schemas.openxmlformats.org/officeDocument/2006/relationships/header" Target="header5.xml"/><Relationship Id="rId16" Type="http://schemas.openxmlformats.org/officeDocument/2006/relationships/footer" Target="footer5.xml"/><Relationship Id="rId17" Type="http://schemas.openxmlformats.org/officeDocument/2006/relationships/image" Target="media/image2.jpeg"/><Relationship Id="rId18" Type="http://schemas.openxmlformats.org/officeDocument/2006/relationships/image" Target="media/image2.jpeg" TargetMode="External"/><Relationship Id="rId19" Type="http://schemas.openxmlformats.org/officeDocument/2006/relationships/image" Target="media/image3.jpeg"/><Relationship Id="rId20" Type="http://schemas.openxmlformats.org/officeDocument/2006/relationships/image" Target="media/image3.jpeg" TargetMode="External"/><Relationship Id="rId21" Type="http://schemas.openxmlformats.org/officeDocument/2006/relationships/image" Target="media/image4.jpeg"/><Relationship Id="rId22" Type="http://schemas.openxmlformats.org/officeDocument/2006/relationships/image" Target="media/image4.jpeg" TargetMode="External"/></Relationships>
</file>