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3456940</wp:posOffset>
            </wp:positionH>
            <wp:positionV relativeFrom="margin">
              <wp:posOffset>0</wp:posOffset>
            </wp:positionV>
            <wp:extent cx="719455" cy="79883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19455" cy="7988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532" w:line="1" w:lineRule="exact"/>
      </w:pPr>
    </w:p>
    <w:p>
      <w:pPr>
        <w:widowControl w:val="0"/>
        <w:spacing w:line="1" w:lineRule="exact"/>
        <w:sectPr>
          <w:headerReference w:type="default" r:id="rId7"/>
          <w:head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1129" w:right="1105" w:bottom="1246" w:left="1095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/>
        <w:keepLines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УПРАВЛЕНИЕ ФЕДЕРАЛЬНОЙ АНТИМОНОПОЛЬНОЙ СЛУЖБЫ</w:t>
        <w:br/>
        <w:t>ПО СВЕРДЛОВСКОЙ ОБЛАСТИ</w:t>
      </w:r>
      <w:bookmarkEnd w:id="0"/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  <w:bookmarkEnd w:id="2"/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жалобе № 066/06/106-4423/2023</w:t>
      </w:r>
      <w:bookmarkEnd w:id="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6163310</wp:posOffset>
                </wp:positionH>
                <wp:positionV relativeFrom="paragraph">
                  <wp:posOffset>12700</wp:posOffset>
                </wp:positionV>
                <wp:extent cx="688975" cy="15875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8975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06.12.2023г.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85.30000000000001pt;margin-top:1.pt;width:54.25pt;height:12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06.12.2023г.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Екатеринбург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Свердловской области по контролю в сфере закупок (далее по тексту — Комиссия)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4" w:lineRule="exact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*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4" w:lineRule="exact"/>
        <w:ind w:left="0" w:right="0" w:firstLine="8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>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посредством использования интернет-видеоконференции, которая обеспечивает возможность участия сторон, в 12-30 в отсутствие представителей: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2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организатора совместного аукциона в лице Муниципального бюджетного учреждения культуры «Дворец культуры «металлург» имени Ферштатера Асира Абрамовича, уведомленного надлежащим образом о месте и времени заседания Комиссии,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7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заявителя в лице ИП Байрамукова А.М., уведомленного надлежащим образом о месте и времени заседания Комиссии,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Байрамукова Азрета Муратбиевича (вх. № 26442-ЭП/23 от 01.12.2023 г.) о нарушениях законодательства о контрактной системе заказчиком в лице Муниципального бюджетного учреждения культуры «Дворец культуры «металлург» имени Ферштатера Асира Абрамовича при осуществлении закупки путем проведения электронного аукциона на оказание клининговых услуг (извещение № 0362300007223000005)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по тексту — Закон о контрактной системе), и в результате осуществления внеплановой проверки в соответствии со ст.ст. 99, 106 Закона о контрактной системе,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6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Управление Федеральной антимонопольной службы по Свердловской области поступила ИП Байрамукова Азрета Муратбиевича (вх. № 26442-ЭП/23 от 01.12.2023 г.) о нарушениях законодательства о контрактной системе заказчиком в лице Муниципального бюджетного учреждения культуры «Дворец культуры «металлург» имени Ферштатера Асира Абрамовича при осуществлении закупки путем проведения электронного аукциона на оказание клининговых услуг (извещение № 0362300007223000005) Закона о контрактной системе, соответствующая требованиям ст. 105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своей жалобе заявитель указал, что извещение о проведении процедуры электронного аукциона составлено с нарушениями норм действующего законодательства.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рассмотрена в порядке, предусмотренном ст. 106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Проведя анализ представленных материалов на рассмотрение жалобы, Комиссия пришла к следующим выводам.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7388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24.11.2023г. на официальном сайте в единой информационной системе в сфере закупок было опубликовано извещение о проведении процедуры электронного аукциона №</w:t>
        <w:tab/>
        <w:t>0362300007223000005 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оказание клининговых услуг.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составила 8 927 917,58 рублей.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1 ст. 49 Закона о контрактной системе электронный аукцион начинается с размещения в единой информационной системе извещения об осуществлении закупки. Заявка на участие в закупке должна содержать информацию и документы, предусмотренные подпунктами "м" - "п" пункта 1, подпунктами "а" - "в" пункта 2, пунктом 5 части 1 статьи 43 настоящего Федерального закона. Заявка также может содержать информацию и документы, предусмотренные подпунктом "д" пункта 2 части 1 статьи 43 настоящего Федерального закона.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 12 ч. 1 ст.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12) требования, предъявляемые к участникам закупки в соответствии с пунктом 1 части 1 статьи 31 настоящего Федерального закона, требования, предъявляемые к участникам закупки в соответствии с частями 2 и 2.1 (при наличии таких требований) статьи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настоящего Федерального закона (при наличии такого требования).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4 ст. 31 Закона о контрактной системе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5 ст. 31 Закона о контрактной системе информация об установленных требованиях в соответствии с частями 1, 1.1, 2 и 2.1 настоящей статьи указывается заказчиком в извещении об осуществлении закупки и документации о закупке (в случае, если настоящим Федеральным законом предусмотрена документация о закупке).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Указанные дополнительные требования установлены постановлением Правительства РФ от 29.12.2021 № 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постановление №2571).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1 постановления Правительства РФ от 29.12.2021 № 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- постановление Правительства № 2571), к участникам закупки отдельных видов товаров, работ, услуг предъявляются дополнительные требования согласно приложению. Соответствие участников закупки указанным требованиям подтверждается информацией и документами, предусмотренными приложением к данному постановлению.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абз. 5 пп. «а» п. 3 постановления Правительства №2571 положения настоящего постановления применяются при проведении конкурентных способов определения поставщиков (подрядчиков, исполнителей), при этом позиции 14, 15 и 36 приложения применяются в случае, если при осуществлении закупки начальная (максимальная) цена контракта превышает 1 млн. рублей.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 36 раздела VI постановления Правительства №2571 для услуг по уборке зданий, сооружений, прилегающих к ним территорий, устанавливаются дополнительные требования к участникам закупки: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опыта исполнения участником закупки договора, предусматривающего оказание услуг по уборке зданий, сооружений, прилегающих к ним территорий. Цена оказанных услуг по договору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Информация и документы, подтверждающие соответствие участников закупки дополнительным требованиям: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исполненный договор;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2) акт приемки оказанных услуг, подтверждающий цену оказанных услуг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в извещении установлен объект закупки - «оказание клининговых услуг», а также следующие требования к участникам закупки: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Требование об отсутствии в реестре недобросовестных поставщиков (подрядчиков, исполнителей) информации, включенной в такой реестр в связи отказом поставщика (подрядчика, исполнителя) от исполнения контракта по причине введения в отношении заказчика санкций и (или) мер ограничительного характера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2) Единые требования к участникам закупок в соответствии с ч. 1 ст. 31 Закона № 44-ФЗ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вышеуказанные действия в части неустановленных обязательных дополнительных требований к участникам закупки нарушают ч. 4 ст. 31, п. 12 ч. 1 ст. 42 Закона о контрактной системе и содержат признаки состава административного правонарушения, предусмотренного ч. 1.4 ст. 7.30 Кодекса Российской Федерации об административных правонарушениях.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связи с чем, руководствуясь ст. 99, ч. 8 ст. 106 Закона о контрактной системе, Комиссия,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  <w:bookmarkEnd w:id="8"/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1" w:val="left"/>
          <w:tab w:pos="141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Жалобу ИП Байрамукова А.М. признать обоснованной.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7" w:val="left"/>
          <w:tab w:pos="1426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действиях организатора совместного аукциона в лице Муниципального бюджетного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учреждения культуры «Дворец культуры «металлург» имени Ферштатера Асира Абрамовича выявлено нарушение ч. 4 ст. 31, п. 12 ч. 1 ст. 42 Закона о контрактной системе.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7" w:val="left"/>
          <w:tab w:pos="1426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Организатору совместного аукциона в лице Муниципального бюджетного учреждения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культуры «Дворец культуры «металлург» имени Ферштатера Асира Абрамовича, закупочной комиссии, оператору электронной площадки выдать предписание об устранении нарушений законодательства о контрактной системе.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7" w:val="left"/>
          <w:tab w:pos="1430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Обязать организатора совместного аукциона обеспечить явку должностного лица,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2522" w:val="left"/>
          <w:tab w:pos="2647" w:val="left"/>
          <w:tab w:leader="underscore" w:pos="4570" w:val="left"/>
          <w:tab w:pos="4696" w:val="left"/>
          <w:tab w:leader="underscore" w:pos="6120" w:val="left"/>
        </w:tabs>
        <w:bidi w:val="0"/>
        <w:spacing w:before="0" w:after="26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ответственного за формирование структурированной формы извещения по закупке № 0362300007223000005 с документами, удостоверяющими личность, закрепляющими за данным лицом служебную обязанность по совершению таких действий на составление протокола об административном правонарушении по адресу: г. Екатеринбург, ул. 8 Марта, 5 / Химиков, 3, 4 этаж, с объяснением по факту выявленного нарушения </w:t>
        <w:tab/>
        <w:tab/>
        <w:t>20</w:t>
        <w:tab/>
        <w:tab/>
        <w:t xml:space="preserve">г. в </w:t>
        <w:tab/>
        <w:t>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74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29" w:right="1101" w:bottom="1407" w:left="1093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670560" cy="670560"/>
            <wp:docPr id="7" name="Picut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670560" cy="6705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V.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УПРАВЛЕНИЕ ФЕДЕРАЛЬНОЙ АНТИМОНОПОЛЬНОЙ СЛУЖБЫ</w:t>
        <w:br/>
        <w:t>ПО СВЕРДЛОВСКОЙ ОБЛАСТИ</w:t>
      </w:r>
      <w:bookmarkEnd w:id="1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ПРЕДПИСАНИЕ 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066/06/106-4423/2023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 устранении нарушений законодательства о контрактной системе</w:t>
      </w:r>
    </w:p>
    <w:p>
      <w:pPr>
        <w:pStyle w:val="Style5"/>
        <w:keepNext/>
        <w:keepLines/>
        <w:widowControl w:val="0"/>
        <w:shd w:val="clear" w:color="auto" w:fill="auto"/>
        <w:tabs>
          <w:tab w:pos="8616" w:val="left"/>
        </w:tabs>
        <w:bidi w:val="0"/>
        <w:spacing w:before="0" w:after="220" w:line="240" w:lineRule="auto"/>
        <w:ind w:left="0" w:right="0" w:firstLine="0"/>
        <w:jc w:val="both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Екатеринбург</w:t>
        <w:tab/>
        <w:t>06.12.2023 г.</w:t>
      </w:r>
      <w:bookmarkEnd w:id="1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Свердловской области по контролю в сфере закупок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*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своего решения № 066/06/106-4423/2023 от 06.12.2023 г., руководствуясь п. 2 ч. 22 ст. 99 Закона о контрактной системе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bookmarkStart w:id="14" w:name="bookmark1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  <w:bookmarkEnd w:id="14"/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1" w:val="left"/>
        </w:tabs>
        <w:bidi w:val="0"/>
        <w:spacing w:before="0" w:after="0" w:line="240" w:lineRule="auto"/>
        <w:ind w:left="16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Организатору совместного аукциона в лице Муниципального бюджетного учреждения культуры «Дворец культуры «металлург» имени Ферштатера Асира Абрамовича, закупочной комиссии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срок до 29.12.2023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устранить нарушения Закона о контрактной системе, установленные решением 066/06/106- 4423/2023 от 06.12.2023 (извещение № 0362300007223000005), путем отзыва карточки контракта, если такая была направлена, отмены протоколов, составленных в ходе проведения закупки, внесения изменений в извещение о проведении электронного аукциона в части устранения выявленных нарушений, продления срока подачи заявок на участие в закупке и завершения процедуры проведения закупки в соответствии с требованиями Закона о контрактной системе.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1" w:val="left"/>
        </w:tabs>
        <w:bidi w:val="0"/>
        <w:spacing w:before="0" w:after="0" w:line="240" w:lineRule="auto"/>
        <w:ind w:left="16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торговой площадки обеспечить исполнение пункта 1 настоящего предписания.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1" w:val="left"/>
        </w:tabs>
        <w:bidi w:val="0"/>
        <w:spacing w:before="0" w:after="220" w:line="240" w:lineRule="auto"/>
        <w:ind w:left="16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Организатору совместного аукциона в лице Муниципального бюджетного учреждения культуры «Дворец культуры «металлург» имени Ферштатера Асира Абрамовича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срок до 10.01.2023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 Свердловское УФАС России копию документа, подтверждающего выполнение пункта 1 настоящего предписания, в том числе посредством факсимильной связи: (343) 377-00-84 или на адрес электронной почты: ^о66@^а8.доV.^и.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160" w:right="0" w:firstLine="5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Свердловского УФАС России обращает внимание, что частью 7 статьи 19.5 Кодекса Российской Федерации об административных правонарушениях за невыполнение в установленный срок предписания предусмотрена административная ответственность.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160" w:right="0" w:firstLine="5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Предписание может быть обжаловано в судебном порядке в течение трех месяцев со дня его вынесения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9542" w:val="left"/>
        </w:tabs>
        <w:bidi w:val="0"/>
        <w:spacing w:before="0" w:after="4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  <w:tab/>
        <w:t>*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sectPr>
      <w:footnotePr>
        <w:pos w:val="pageBottom"/>
        <w:numFmt w:val="decimal"/>
        <w:numRestart w:val="continuous"/>
      </w:footnotePr>
      <w:pgSz w:w="11900" w:h="16840"/>
      <w:pgMar w:top="1465" w:right="1042" w:bottom="1465" w:left="1099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3749675</wp:posOffset>
              </wp:positionH>
              <wp:positionV relativeFrom="page">
                <wp:posOffset>485140</wp:posOffset>
              </wp:positionV>
              <wp:extent cx="54610" cy="8826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295.25pt;margin-top:38.200000000000003pt;width:4.2999999999999998pt;height:6.9500000000000002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—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Заголовок №1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Колонтитул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Заголовок №1"/>
    <w:basedOn w:val="Normal"/>
    <w:link w:val="CharStyle6"/>
    <w:pPr>
      <w:widowControl w:val="0"/>
      <w:shd w:val="clear" w:color="auto" w:fill="auto"/>
      <w:spacing w:after="260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Колонтитул (2)"/>
    <w:basedOn w:val="Normal"/>
    <w:link w:val="CharStyle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1.pn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image" Target="media/image2.png"/><Relationship Id="rId10" Type="http://schemas.openxmlformats.org/officeDocument/2006/relationships/image" Target="media/image2.png" TargetMode="Externa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kireev</dc:creator>
  <cp:keywords/>
</cp:coreProperties>
</file>