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67310" distL="114300" distR="11430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</wp:posOffset>
            </wp:positionV>
            <wp:extent cx="2810510" cy="32854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810510" cy="3285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2393950</wp:posOffset>
                </wp:positionH>
                <wp:positionV relativeFrom="paragraph">
                  <wp:posOffset>2246630</wp:posOffset>
                </wp:positionV>
                <wp:extent cx="1073150" cy="21653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ВЛ/17056/23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88.5pt;margin-top:176.90000000000001pt;width:84.5pt;height:17.0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ВЛ/17056/23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873125</wp:posOffset>
                </wp:positionH>
                <wp:positionV relativeFrom="paragraph">
                  <wp:posOffset>2246630</wp:posOffset>
                </wp:positionV>
                <wp:extent cx="807720" cy="21653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7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1.12.2023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8.75pt;margin-top:176.90000000000001pt;width:63.600000000000001pt;height:17.0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1.12.2023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768985</wp:posOffset>
                </wp:positionH>
                <wp:positionV relativeFrom="paragraph">
                  <wp:posOffset>3145790</wp:posOffset>
                </wp:positionV>
                <wp:extent cx="588010" cy="21653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80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0.550000000000004pt;margin-top:247.70000000000002pt;width:46.300000000000004pt;height:17.05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1098550</wp:posOffset>
                </wp:positionH>
                <wp:positionV relativeFrom="paragraph">
                  <wp:posOffset>1606550</wp:posOffset>
                </wp:positionV>
                <wp:extent cx="1880870" cy="15557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85F98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пр. Ленина, 59, г.Челябинск, 454091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6.5pt;margin-top:126.5pt;width:148.09999999999999pt;height:12.25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85F98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пр. Ленина, 59, г.Челябинск, 454091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888365</wp:posOffset>
                </wp:positionH>
                <wp:positionV relativeFrom="paragraph">
                  <wp:posOffset>1768475</wp:posOffset>
                </wp:positionV>
                <wp:extent cx="2233930" cy="15557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3393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85F98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тел. (351) 263-88-71, факс (351) 263-18-39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9.950000000000003pt;margin-top:139.25pt;width:175.90000000000001pt;height:12.25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85F98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тел. (351) 263-88-71, факс (351) 263-18-39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1421765</wp:posOffset>
                </wp:positionH>
                <wp:positionV relativeFrom="paragraph">
                  <wp:posOffset>1926590</wp:posOffset>
                </wp:positionV>
                <wp:extent cx="1234440" cy="15875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85F98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1о74@1а8.еоу.ги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11.95pt;margin-top:151.70000000000002pt;width:97.200000000000003pt;height:12.5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85F98"/>
                          <w:spacing w:val="0"/>
                          <w:w w:val="100"/>
                          <w:position w:val="0"/>
                          <w:sz w:val="19"/>
                          <w:szCs w:val="19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1о74@1а8.еоу.ги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1574165</wp:posOffset>
                </wp:positionH>
                <wp:positionV relativeFrom="paragraph">
                  <wp:posOffset>637540</wp:posOffset>
                </wp:positionV>
                <wp:extent cx="972185" cy="14922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2185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85F98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23.95pt;margin-top:50.200000000000003pt;width:76.549999999999997pt;height:11.75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85F98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1019175</wp:posOffset>
                </wp:positionH>
                <wp:positionV relativeFrom="paragraph">
                  <wp:posOffset>789940</wp:posOffset>
                </wp:positionV>
                <wp:extent cx="2042160" cy="14351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216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85F98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АНГНМОНО11О. 1БНАЯ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80.25pt;margin-top:62.200000000000003pt;width:160.80000000000001pt;height:11.300000000000001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85F98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АНГНМОНО11О. 1БНАЯ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1591945</wp:posOffset>
                </wp:positionH>
                <wp:positionV relativeFrom="paragraph">
                  <wp:posOffset>1064260</wp:posOffset>
                </wp:positionV>
                <wp:extent cx="895985" cy="13716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85F98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У РАВ. 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25.35000000000001pt;margin-top:83.799999999999997pt;width:70.549999999999997pt;height:10.800000000000001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485F98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У РАВ. 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924560</wp:posOffset>
                </wp:positionH>
                <wp:positionV relativeFrom="paragraph">
                  <wp:posOffset>1204595</wp:posOffset>
                </wp:positionV>
                <wp:extent cx="2240280" cy="15875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028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85F98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72.799999999999997pt;margin-top:94.850000000000009pt;width:176.40000000000001pt;height:12.5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85F98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1354455</wp:posOffset>
                </wp:positionH>
                <wp:positionV relativeFrom="paragraph">
                  <wp:posOffset>1341755</wp:posOffset>
                </wp:positionV>
                <wp:extent cx="1380490" cy="15240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049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85F98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Челяоинской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06.65000000000001pt;margin-top:105.65000000000001pt;width:108.7pt;height:12.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85F98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Челяоинской области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60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Воробьев Александр Валерьевич 188800, г. Выборг, ул. Резервная, д. 2, кв. 14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fldChar w:fldCharType="begin"/>
      </w:r>
      <w:r>
        <w:rPr/>
        <w:instrText> HYPERLINK "mailto:talvisota.vbg@gmail.com"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1аМ8о1а^Ъ§@§тай.сот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Пластовского муниципального района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457020, г. Пласт, ул. Октябрьская, 45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0" w:right="0" w:firstLine="40"/>
        <w:jc w:val="left"/>
      </w:pPr>
      <w:r>
        <w:fldChar w:fldCharType="begin"/>
      </w:r>
      <w:r>
        <w:rPr/>
        <w:instrText> HYPERLINK "mailto:plastzakupki@yandex.ru"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р1а812акирИ@уап4ех.ш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0" w:right="0" w:firstLine="40"/>
        <w:jc w:val="left"/>
      </w:pPr>
      <w:r>
        <w:fldChar w:fldCharType="begin"/>
      </w:r>
      <w:r>
        <w:rPr/>
        <w:instrText> HYPERLINK "mailto:plast-zakaz@mail.ru"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р1а§1-2ака2@таП.ш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СНЕ^УВI^8К_8~МЕ^ОО^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 23А, эт. 25, пом. № 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ко@г18-1еп4ег.ги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280" w:right="70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закупок (извещение № 0169300038023000076)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074/06/105-2808/2023 (№ 514-ж/2023)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Челябинск, пр. Ленина, 59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оглашена «07» декабря 2023 года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полном объеме решение изготовлено «11» декабря 2023 года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tbl>
      <w:tblPr>
        <w:tblOverlap w:val="never"/>
        <w:jc w:val="center"/>
        <w:tblLayout w:type="fixed"/>
      </w:tblPr>
      <w:tblGrid>
        <w:gridCol w:w="1704"/>
        <w:gridCol w:w="2539"/>
        <w:gridCol w:w="5741"/>
      </w:tblGrid>
      <w:tr>
        <w:trPr>
          <w:trHeight w:val="31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Председателя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Ливончик В.А.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заместителя руководителя управления -</w:t>
            </w:r>
          </w:p>
        </w:tc>
      </w:tr>
      <w:tr>
        <w:trPr>
          <w:trHeight w:val="119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5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Комиссии: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Членов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Сарсенбаевой Е.Н.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начальника отдела контроля закупок для государственных и муниципальных нужд Челябинского УФАС России;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ведущего специалиста-эксперта отдела</w:t>
            </w:r>
          </w:p>
        </w:tc>
      </w:tr>
      <w:tr>
        <w:trPr>
          <w:trHeight w:val="117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Гареевой Д.Ф.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контроля закупок для государственных и муниципальных нужд Челябинского УФАС России;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tabs>
                <w:tab w:pos="1988" w:val="left"/>
                <w:tab w:pos="4974" w:val="left"/>
              </w:tabs>
              <w:bidi w:val="0"/>
              <w:spacing w:before="0" w:after="0" w:line="240" w:lineRule="auto"/>
              <w:ind w:left="0" w:right="0" w:firstLine="2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главного</w:t>
              <w:tab/>
              <w:t>специалиста-эксперта</w:t>
              <w:tab/>
              <w:t>отдела</w:t>
            </w:r>
          </w:p>
        </w:tc>
      </w:tr>
    </w:tbl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контроля закупок для государственных и муниципальных нужд Челябинского УФАС России,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руководствуясь частью 15 статьи 99, статьей 106 Федерального закона от 05.04.2013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рассмотрев жалобу ИП Воробьева Александра Валерьевича на положения извещения при проведении электронного аукциона на выполнение работ по озеленению в границах Пластовского городского поселения в 2024 году (извещение № 0169300038023000076), в присутствии представителя администрации Пластовского муниципального района (далее - заказчик) Герцовской Р.С., действующей на основании доверенности от 06.12.2023 № 162, в отсутствие представителей ИП Воробьева Александра Валерьевича (далее - заявитель),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надлежащим образом уведомленного о дате и времени заседания Комиссии, в том числе публично, путем размещения информации в единой информационной системе в сфере закупок на официальном сайте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\у\у\у./акирк1.доу.1'и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НО В И Л А: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Челябинское УФАС России 01.12.2023 поступила жалоба заявителя на положения извещения при проведении электронного аукциона на выполнение работ по озеленению в границах Пластовского городского поселения в 2024 году (извещение № 0169300038023000076) (далее - аукцион, закупка).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представленным документам извещение о проведении электронного аукциона опубликовано в единой информационной системе в сфере закупок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\у\у\у./акирк1.доу. ги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23.11.2023.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- 7 000 000,00 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контракт по итогам закупки не заключен.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доводу жалобы заказчиком не установлены при осуществлении закупки дополнительные требования к участникам закупки в соответствии с позицией 9 приложения к постановлению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 Правительства РФ от 29.12.2021 № 2571).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представил письменные пояснения, которые на заседании Комиссии поддержал, и указал, что дополнительные требования к участникам закупки не установлены ошибочно.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представленные документы и материалы, руководствуясь статьей 106 Закона о контрактной системе, Комиссия пришла к следующим выводам,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пункта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7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частью 3 статьи 31 Закона о контрактной системе перечень информации и документов, которые подтверждают соответствие участников закупок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дополнительным требованиям, указанным в частях 2 и 2.1 статьи 31 Закона о контрактной системе, устанавливается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согласно части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РФ от 29.12.2021 № 2571 утверждены требования к участникам закупки товаров, работ, услуг для обеспечения государственных и муниципальных нужд.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положений пункта 1 постановления Правительства РФ от 29.12.2021 № 2571 следует, к участникам закупки отдельных видов товаров, работ, услуг предъявляются дополнительные требования согласно приложению «Дополнительные требования к участникам закупки отдельных видов товаров, работ, услуг для обеспечения государственных и муниципальных нужд» при любых конкурентных процедурах, если объект закупки включен в приложение и в ряде случаев превышает определенную начальную (максимальную) цену контракта. При этом соответствие участников закупки указанным требованиям подтверждается информацией и документами, предусмотренными приложением к постановлению Правительства РФ от 29.12.2021 № 2571.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Объектом рассматриваемой закупки является «Выполнение работ по озеленению в границах Пластовского городского поселения в 2024 году».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подпункту 6 пункта 36 Правил благоустройства территории Пластовского городского поселения, утвержденных решением Совета депутатов Пластовского городского поселения от 19.12.2019 № 69, благоустройство территории городского поселения заключается в проведении мероприятий, обеспечивающих озеленение городских территорий, а также содержание зеленых насаждений.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9 приложения к постановлению Правительства РФ от 29.12.2021 № 2571 предусматривает дополнительные требования к участникам при проведении закупки работ по благоустройству территории: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«наличие у участника закупки следующего опыта выполнения работ: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(в том числе линейного объекта);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 объекта капитального строительства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(в том числе линейного объекта).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выполненных работ по договорам, предусмотренных пунктами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 извещении об осуществлении закупки заказчиком не установлены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дополнительные требования к участникам закупки в соответствии с позицией 9 приложения к постановлению Правительства РФ от 29.12.2021 № 2571.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нарушение части 4 статьи 31, пункта 12 части 1 статьи 42 Закона о контрактной системе при проведении аукциона к участникам не установлены дополнительные требования, которые соответствуют объекту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допущенными нарушениями в действиях должностного лица усматриваются признаки состава административного правонарушения, предусмотренного главой 7 КоАП РФ.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изложенного, информации, представленной заявителем, заказчиком, а также информации, полученной Комиссией при проведении внеплановой проверки, Комиссия, руководствуясь статьями 99, 106 Закона о контрактной системе,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4"/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Воробьева Александра Валерьевича на положения извещения при проведении электронного аукциона на выполнение работ по озеленению в границах Пластовского городского поселения в 2024 году (извещение № 0169300038023000076)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нарушение части 4 статьи 31, пункта 12 части 1 статьи 42 Закона о контрактной системе при осуществлении закупки.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заказчику, комиссии по осуществлению закупок, оператору электронной площадки, комиссии по осуществлению закупок предписание об устранении нарушений законодательства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должностному лицу Челябинского УФАС России для решения вопроса о привлечении виновных лиц к административной ответственности за нарушение законодательства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774" w:right="532" w:bottom="1504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14300" distB="203835" distL="0" distR="0" simplePos="0" relativeHeight="125829379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114300</wp:posOffset>
                </wp:positionV>
                <wp:extent cx="1828800" cy="25019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58.050000000000004pt;margin-top:9.pt;width:144.pt;height:19.699999999999999pt;z-index:-125829374;mso-wrap-distance-left:0;mso-wrap-distance-top:9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5740" distB="0" distL="0" distR="1807210" simplePos="0" relativeHeight="125829381" behindDoc="0" locked="0" layoutInCell="1" allowOverlap="1">
            <wp:simplePos x="0" y="0"/>
            <wp:positionH relativeFrom="page">
              <wp:posOffset>2681605</wp:posOffset>
            </wp:positionH>
            <wp:positionV relativeFrom="paragraph">
              <wp:posOffset>205740</wp:posOffset>
            </wp:positionV>
            <wp:extent cx="311150" cy="365760"/>
            <wp:wrapTopAndBottom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275590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42.09999999999999pt;margin-top:21.699999999999999pt;width:135.84999999999999pt;height:20.150000000000002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203835" distL="0" distR="0" simplePos="0" relativeHeight="125829382" behindDoc="0" locked="0" layoutInCell="1" allowOverlap="1">
                <wp:simplePos x="0" y="0"/>
                <wp:positionH relativeFrom="page">
                  <wp:posOffset>6022340</wp:posOffset>
                </wp:positionH>
                <wp:positionV relativeFrom="paragraph">
                  <wp:posOffset>114300</wp:posOffset>
                </wp:positionV>
                <wp:extent cx="1170305" cy="25019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03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В.А. Ливончик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74.19999999999999pt;margin-top:9.pt;width:92.150000000000006pt;height:19.699999999999999pt;z-index:-125829371;mso-wrap-distance-left:0;mso-wrap-distance-top:9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В.А. Ливончик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Ливончик Влада Анатольевна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008А08В8ССПА507Е407686ВСА8А57008Е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21.02.2023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16.05.2024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21510" simplePos="0" relativeHeight="125829384" behindDoc="0" locked="0" layoutInCell="1" allowOverlap="1">
            <wp:simplePos x="0" y="0"/>
            <wp:positionH relativeFrom="page">
              <wp:posOffset>2681605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6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42.09999999999999pt;margin-top:11.5pt;width:135.84999999999999pt;height:20.150000000000002pt;z-index:2516577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Е.Н. Сарсенбаева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Сарсенбаева Екатерина Николаевна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00ВА77РЕ376ВСЕ59С49Р61ЕР26В79А7В07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14.02.2023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09.05.2024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21510" simplePos="0" relativeHeight="125829385" behindDoc="0" locked="0" layoutInCell="1" allowOverlap="1">
            <wp:simplePos x="0" y="0"/>
            <wp:positionH relativeFrom="page">
              <wp:posOffset>2681605</wp:posOffset>
            </wp:positionH>
            <wp:positionV relativeFrom="paragraph">
              <wp:posOffset>76200</wp:posOffset>
            </wp:positionV>
            <wp:extent cx="311150" cy="359410"/>
            <wp:wrapSquare wrapText="right"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8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42.09999999999999pt;margin-top:11.5pt;width:135.84999999999999pt;height:20.150000000000002pt;z-index:25165775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Д.Ф. Гареева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Гареева Динара Флариковна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ООЕ6486СС7ЕС9АСЗООА8А53САСЕОЕСЗЕ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14.02.2023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09.05.2024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Исп.Гареева Д.Ф. тел.8(351) 264-50-43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74" w:right="536" w:bottom="966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10079990</wp:posOffset>
              </wp:positionV>
              <wp:extent cx="725170" cy="10033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2023-19256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6.950000000000003pt;margin-top:793.7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2023-19256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10314940</wp:posOffset>
              </wp:positionV>
              <wp:extent cx="725170" cy="10033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2023-19256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56.950000000000003pt;margin-top:812.2000000000000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2023-19256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192405</wp:posOffset>
              </wp:positionV>
              <wp:extent cx="64135" cy="10350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309.19999999999999pt;margin-top:15.15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Друго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5">
    <w:name w:val="Основной текст (3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1"/>
      <w:szCs w:val="11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Другое"/>
    <w:basedOn w:val="Normal"/>
    <w:link w:val="CharStyle2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4">
    <w:name w:val="Основной текст (3)"/>
    <w:basedOn w:val="Normal"/>
    <w:link w:val="CharStyle25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1"/>
      <w:szCs w:val="11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