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920" w:h="341" w:wrap="none" w:hAnchor="page" w:x="1454" w:y="625"/>
        <w:widowControl w:val="0"/>
        <w:shd w:val="clear" w:color="auto" w:fill="auto"/>
        <w:bidi w:val="0"/>
        <w:spacing w:before="0" w:after="0"/>
        <w:ind w:left="0" w:right="0" w:firstLine="38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ФЕДЕРАЛЬНАЯ кмоногюльмля </w:t>
      </w:r>
      <w:r>
        <w:rPr>
          <w:smallCap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служба.</w:t>
      </w:r>
    </w:p>
    <w:p>
      <w:pPr>
        <w:pStyle w:val="Style5"/>
        <w:keepNext w:val="0"/>
        <w:keepLines w:val="0"/>
        <w:framePr w:w="2496" w:h="1267" w:wrap="none" w:hAnchor="page" w:x="1007" w:y="1033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framePr w:w="2496" w:h="1267" w:wrap="none" w:hAnchor="page" w:x="1007" w:y="1033"/>
        <w:widowControl w:val="0"/>
        <w:shd w:val="clear" w:color="auto" w:fill="auto"/>
        <w:bidi w:val="0"/>
        <w:spacing w:before="0" w:after="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аши.мшшнпяышй</w:t>
        <w:br/>
        <w:t>службы по Хйкты-Мянеийскому</w:t>
        <w:br/>
        <w:t>автономному округу - Югре</w:t>
        <w:br/>
        <w:t xml:space="preserve">\ М,ц'&lt; </w:t>
      </w:r>
      <w:r>
        <w:rPr>
          <w:smallCap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1а."'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Х&lt;1шя Мажим 6'&amp;М2</w:t>
        <w:br/>
        <w:t>1сле&lt;1Н)ьфаке - / &lt;346/) л8-Зо-81</w:t>
        <w:br/>
        <w:t xml:space="preserve">м Н I '8 1 н х, ’ и &lt; зй» и ц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 л д ’н</w:t>
      </w:r>
    </w:p>
    <w:p>
      <w:pPr>
        <w:pStyle w:val="Style2"/>
        <w:keepNext w:val="0"/>
        <w:keepLines w:val="0"/>
        <w:framePr w:w="2496" w:h="1267" w:wrap="none" w:hAnchor="page" w:x="1007" w:y="103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ИПадьц) И1 1\бНи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г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&gt;!</w:t>
      </w:r>
    </w:p>
    <w:p>
      <w:pPr>
        <w:pStyle w:val="Style7"/>
        <w:keepNext w:val="0"/>
        <w:keepLines w:val="0"/>
        <w:framePr w:w="2606" w:h="370" w:wrap="none" w:hAnchor="page" w:x="1003" w:y="2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/Л^-^5 №■ </w:t>
      </w:r>
      <w:r>
        <w:rPr>
          <w:rFonts w:ascii="Consolas" w:eastAsia="Consolas" w:hAnsi="Consolas" w:cs="Consolas"/>
          <w:i/>
          <w:iC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Р</w:t>
      </w:r>
      <w:r>
        <w:rPr>
          <w:rFonts w:ascii="Consolas" w:eastAsia="Consolas" w:hAnsi="Consolas" w:cs="Consolas"/>
          <w:i/>
          <w:iCs/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Ж</w:t>
      </w:r>
      <w:r>
        <w:rPr>
          <w:rFonts w:ascii="Consolas" w:eastAsia="Consolas" w:hAnsi="Consolas" w:cs="Consolas"/>
          <w:i/>
          <w:iC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№</w:t>
      </w:r>
    </w:p>
    <w:p>
      <w:pPr>
        <w:pStyle w:val="Style11"/>
        <w:keepNext/>
        <w:keepLines/>
        <w:framePr w:w="3034" w:h="4579" w:wrap="none" w:hAnchor="page" w:x="4382" w:y="60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3"/>
        <w:keepNext w:val="0"/>
        <w:keepLines w:val="0"/>
        <w:framePr w:w="3034" w:h="4579" w:wrap="none" w:hAnchor="page" w:x="4382" w:y="60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 - АСТ"</w:t>
      </w:r>
    </w:p>
    <w:p>
      <w:pPr>
        <w:pStyle w:val="Style13"/>
        <w:keepNext w:val="0"/>
        <w:keepLines w:val="0"/>
        <w:framePr w:w="3034" w:h="4579" w:wrap="none" w:hAnchor="page" w:x="4382" w:y="601"/>
        <w:widowControl w:val="0"/>
        <w:shd w:val="clear" w:color="auto" w:fill="auto"/>
        <w:bidi w:val="0"/>
        <w:spacing w:before="0" w:after="20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119435, г. Москва, Большой Саввинский переулок, д.12, стр.9</w:t>
      </w:r>
    </w:p>
    <w:p>
      <w:pPr>
        <w:pStyle w:val="Style11"/>
        <w:keepNext/>
        <w:keepLines/>
        <w:framePr w:w="3034" w:h="4579" w:wrap="none" w:hAnchor="page" w:x="4382" w:y="601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3"/>
        <w:keepNext w:val="0"/>
        <w:keepLines w:val="0"/>
        <w:framePr w:w="3034" w:h="4579" w:wrap="none" w:hAnchor="page" w:x="4382" w:y="601"/>
        <w:widowControl w:val="0"/>
        <w:shd w:val="clear" w:color="auto" w:fill="auto"/>
        <w:bidi w:val="0"/>
        <w:spacing w:before="0" w:after="200" w:line="29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Кравченко Андрей Геннадьевич 628181, Ханты-Мансийский Автономный округ - Югра АО, г. Нягань, 3 мкр, дом 6, квартира 127</w:t>
      </w:r>
    </w:p>
    <w:p>
      <w:pPr>
        <w:pStyle w:val="Style11"/>
        <w:keepNext/>
        <w:keepLines/>
        <w:framePr w:w="3034" w:h="4579" w:wrap="none" w:hAnchor="page" w:x="4382" w:y="60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3"/>
        <w:keepNext w:val="0"/>
        <w:keepLines w:val="0"/>
        <w:framePr w:w="3034" w:h="4579" w:wrap="none" w:hAnchor="page" w:x="4382" w:y="601"/>
        <w:widowControl w:val="0"/>
        <w:shd w:val="clear" w:color="auto" w:fill="auto"/>
        <w:bidi w:val="0"/>
        <w:spacing w:before="0" w:after="2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«Управление городского хозяйства» 628181, Ханты-Мансийский Автономный округ - Югра АО, г. Нягань, 1 мкр, дом 50</w:t>
      </w:r>
    </w:p>
    <w:p>
      <w:pPr>
        <w:pStyle w:val="Style11"/>
        <w:keepNext/>
        <w:keepLines/>
        <w:framePr w:w="3034" w:h="4579" w:wrap="none" w:hAnchor="page" w:x="4382" w:y="601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6"/>
    </w:p>
    <w:p>
      <w:pPr>
        <w:pStyle w:val="Style13"/>
        <w:keepNext w:val="0"/>
        <w:keepLines w:val="0"/>
        <w:framePr w:w="3034" w:h="4579" w:wrap="none" w:hAnchor="page" w:x="4382" w:y="601"/>
        <w:widowControl w:val="0"/>
        <w:shd w:val="clear" w:color="auto" w:fill="auto"/>
        <w:bidi w:val="0"/>
        <w:spacing w:before="0" w:after="200" w:line="29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города Нягани 628181, Ханты-Мансийский Автономный округ - Югра АО, г. Нягань, ул. Загородных, 7А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1297305</wp:posOffset>
            </wp:positionH>
            <wp:positionV relativeFrom="margin">
              <wp:posOffset>0</wp:posOffset>
            </wp:positionV>
            <wp:extent cx="335280" cy="3898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35280" cy="3898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8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8400" w:h="11900"/>
          <w:pgMar w:top="858" w:right="712" w:bottom="972" w:left="920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086/06/33-2047/2023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3839210</wp:posOffset>
                </wp:positionH>
                <wp:positionV relativeFrom="paragraph">
                  <wp:posOffset>12700</wp:posOffset>
                </wp:positionV>
                <wp:extent cx="862330" cy="12192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02.30000000000001pt;margin-top:1.pt;width:67.900000000000006pt;height:9.599999999999999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07.12.2023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12.12.2023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9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работ; услуг для обеспечения государственных и муниципальных нужд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8" w:val="left"/>
        </w:tabs>
        <w:bidi w:val="0"/>
        <w:spacing w:before="0" w:after="0" w:line="286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8" w:val="left"/>
        </w:tabs>
        <w:bidi w:val="0"/>
        <w:spacing w:before="0" w:after="0" w:line="286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Сафонов С.И.- Специалист-эксперт отдела Управления;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3" w:val="left"/>
        </w:tabs>
        <w:bidi w:val="0"/>
        <w:spacing w:before="0" w:after="220" w:line="286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Петухова Ю.А.- Эксперт отдела Управления,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2" w:val="left"/>
        </w:tabs>
        <w:bidi w:val="0"/>
        <w:spacing w:before="0" w:after="0" w:line="276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 Заявителя - отсутствовали, уведомлены надлежащим образом;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76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посредством видеоконференц-связи Михайлусова Е.В. на основании доверенности № 2 от 09.01.2023,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Кравченко Андрея Геннадьевича (ИНН: 861004994980; ОГРН: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1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321861700093625) от 04.12.2023 № 12218/23, на действия Заказчика - Муниципальное казенное учреждение «Управление городского хозяйства», Уполномоченного органа - Администрация горо</w:t>
        <w:softHyphen/>
        <w:t>да Нягани, при проведении электронного аукциона, предметом которого является оказание услуг по содержанию и обслуживанию территорий общего пользования, расположенные в микрорайоне Восточный города Нягани (извещение № 0187300008123000471) и в результате осуществления внеплановой проверки в соответствии с пунктом 1 части 15 статьи 99 Федерального закона от 05.04.2013 И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1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ИП Кравченко Андрея Геннадьевича (ИНН: 861004994980; ОГРН: 321861700093625) от 04.12.2023 № 12218/23, на действия Заказчика - Муниципальное казенное учреждение «Управление городского хозяйства», Уполномоченного органа - Администрация города Нягани, при проведении электронного аукциона, предметом которого является оказание услуг по содержанию и обслуживанию территорий общего пользования, расположенные в микрорайоне Восточный города Нягани (извещение № 0187300008123000471).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доводе жалобы Заявитель указал следующее: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0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Заказчик, указывая данную услугу как обязательную, а также в отсутствие того, что сам Заказчик обязан согласовать вырубку ставит Исполнителя в зависимое положение, при которой у Исполнителя возникает неисполнение контакта с вытекающими последствия, а также вынуждает к совершению уголовно либо административно наказуемого деяния с последующим возмещение ущерба за уничтоженные зеленые насаждения..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1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документации не указывает и не определяет фактическую площадь, на которую должна быть рассыпана пескосоляная смесь, равно как не указывает пропорции и состав такой смеси.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6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не указывает какие непосредственно дефекты должны быть устранены, где и в каком месте они могут образоваться, и соответственно какие материалы должны применяться для их устранения.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0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не указывает не указывает места установки таких трапов, как должны устанавливаться такие трапы, случаи и обстоятельствах установки такие трапов, кем предоставляются трапы, а также одним из существенных обстоятельств является разграничение ответственности в случае, если данные трапы не отвечают требованиям безопасности эксплуатации.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6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не указывает место расположение склада, кому принадлежит данный склад и в каком порядке выдается трап, в том числе не разграничивает ответственность между Заказчиком и Исполнителем за сохранность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целостность выданных трапов.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6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не указывает какое дезинфицирующее средство должно применяться исходя из классификации по типу выпуска, а также по типу действующего вещества.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6" w:val="left"/>
        </w:tabs>
        <w:bidi w:val="0"/>
        <w:spacing w:before="0" w:after="10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предъявляются обязательные требования (в части применения ГОСТов), которые фактически не относятся к объекту закупки и никак не регламентируют таковую, и соответственно заказчиком намеренно в документации указывается невыполнимое требование, которое вводит в заблуждение участника закупки и соответственно является нарушением закона.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доводов сторон, материалов дела, Комиссией Управления установлено следующее.</w:t>
      </w:r>
      <w:bookmarkEnd w:id="1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первого довода жалобы Комиссия Управления поясняет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Податель жалобы указывает, что в пункте 16 описания объекта закупки указано, что указана следующая услуга «Вырубка кустарника и подлеска вручную с последующим сбором».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Администрацией муниципального образования город Нягань в соответствии с указанной нормой, а также Федеральным законом от 10.01.2002 № 7-ФЗ «Об охране окружающей среды» принято положение, регулирующее порядок выдачи разрешения на производство вырубки деревьев и кустарников в городской черте либо в черте сельского поселения.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постановлением Администрации города Нягани от 21.07.2022 №2296 «Об утверждении Административного регламента предоставления муниципальной услуги «Выдача разрешений на право вырубки зеленых насаждений» осуществляется в случаях: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58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строительства, ремонта зданий, строений, сооружений, в том числе строительства, реконструкции и эксплуатации линий электропередачи, линий связи, дорог, трубопроводов и других линейных объектов, а также сооружений, являющихся неотъемлемой технологической частью указанных объектов;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работ, услуг для обеспечения государственных или муниципальных нужд;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54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работ по ликвидации аварийных и чрезвычайных ситуаций техногенного и природного характера и их последствий;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58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проведения санитарных рубок и реконструкции зеленых насаждений в соответствии с законодательством Российской Федерации;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58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восстановления нормативного светового режима в соответствии с требованиями СанПиН в жилых и нежилых помещениях, затеняемых деревьями, высаженными с нарушением СНиП, по заключению соответствующих органов;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вырубке аварийно-опасных деревьев и кустарников;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54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негативном воздействии древесно-кустарниковой растительности на техническое состояние зданий, сооружений и иных объектов недвижимого имущества;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подрезке древесно-кустарниковой растительности;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58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вырубке зеленых насаждений, произрастающих в охранных зонах линейных объектов и инженерных сетей и коммуникаций;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58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вырубке зеленых насаждений, произрастающих на земельных участках, предоставленных в собственность юридическим и физическим лицам, а также на территории, предназначенной для организации подъездов к данным участкам;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39" w:val="left"/>
        </w:tabs>
        <w:bidi w:val="0"/>
        <w:spacing w:before="0" w:after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вырубке зеленых насаждений, произрастающих на земельных участках, площадью не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1500 кв. м, предоставленных физическим и юридическим лицам в аренду, а также на территории, предназначенной для организации подъездов к данным участкам;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54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вырубке зеленых насаждений, произрастающих на земельных участках, предоставленных в безвозмездное пользование сроком на 5 лет некоммерческим организациям, созданным гражданами для ведения садоводства, огородничества, дачного хозяйства, а также на территории, предназначенной для организации подъездов к данным участкам;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54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вырубке зеленых насаждений, произрастающих на земельных участках, предоставленных гражданам для индивидуального жилищного строительства, а также на территории, предназначенной для организации подъездов к данным участкам;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54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выкапывании посадочного материала для пересадки с целью озеленения города Нягани, определенных муниципальным казенным учреждением города Нягани «Управление городского хозяйства» (далее - МКУ г. Нягани «УГХ»).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в случае возникновения необходимости в такой услуге, в соответствии с требованиями постановления Администрации города Нягани от 25.11.2022 №3648 «Об утверждении Порядка проведения мероприятий, связанных с вырубкой зеленых насаждений на территории города Нягани» победитель данной закупки обратится в уполномоченный орган за разрешением о вырубке кустарника и подлеска, данное разрешение будет выдано на законных основаниях с соблюдением требований вышеназванного постановления.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предметом аукциона является оказание услуг по содержанию и обслуживанию территорий общего пользования, расположенные в микрорайоне Восточный города Нягани, соответственно, услуга по аукциону не отнесена к перечню случаев, влекущим за собой необходимость в получении разрешения на вырубку зеленых насаждений.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довод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второго довода жалобы Комиссия Управления поясняет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3 описания объекта закупки установлено, что указана следующая услуга «Обработка пескосоляной смесью (30% от общей площади).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2.3. пункта 2 приложения №1 к извещению о закупке установлено обязательное требование: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2.3. Во время снегопада очистка территорий от снега производится в соответствии с ГОСТ Р 50597-2017 «Дороги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контроля». При гололедице производить обработку территорий противогололедным составом в соответствии с ГОСТ Р 50597-2017 «Дороги автомобильные и улицы. Требования к эксплуатационному состоянию, допустимому по условиям обеспечения безопасности дорожного движения. Методы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контроля».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указанным ГОСТ Р 50597-2017 «Дороги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контроля», распоряжение Минтранса РФ от 16.06.2003 №ОС-548-р «Об утверждении ОДМ Руководство по борьбе с зимней скользкостью на автомобильных дорогах» обработке подлежат: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68" w:val="left"/>
        </w:tabs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дорожные части,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68" w:val="left"/>
        </w:tabs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тротуары,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68" w:val="left"/>
        </w:tabs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пешеходные зоны,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68" w:val="left"/>
        </w:tabs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площади,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68" w:val="left"/>
        </w:tabs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придомовые территории,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68" w:val="left"/>
        </w:tabs>
        <w:bidi w:val="0"/>
        <w:spacing w:before="0" w:after="0"/>
        <w:ind w:left="4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пандусы, - лестницы.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Вышеназванными документами установлено, что должно быть обработано, какими противоголеледными средствами необходимо работать, в каких пропорциях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какие составы.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1.2 муниципального контракта указано, что услуги оказываются по ежедневным планам (заявкам) оказания услуг (приложение №3), направляемым по электронной почте либо нарочно в адрес Исполнителя. При необходимости муниципальный заказчик вносит изменения в план (заявку) в устной или письменной форме и доводит информацию до сведения Исполнителя. Срок оказания услуг по ежедневному плану (заявке) определяется заказчиком и указывается в плане (заявке). Ежедневный план оказания услуг включает весь необходимый комплекс услуг, позволяющий обеспечить содержание и обслуживание территорий общего пользования, расположенные в микрорайоне Восточный города Нягани в соответствии с нормативными требованиями действующего законодательства. Ежедневный план оказания услуг содержит вид услуг, объём, количество, срок исполнения услуг (ежедневно).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данном плане-заявке Заказчиком будет указано, какие виды работ в соответствии с техническим заданием будут необходимы. Исполнитель заранее будет осведомлен о видах работ; запланированных на день, следующий за днем получения плана-заявки.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Заказчик в документации определяет фактическую площадь, на которую должна быть рассыпана пескосоляная смесь, тем самым противоречий в извещении и проекту контракта не установлено, довод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третьего довода жалобы Комиссия Управления поясняет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24 описания объекта закупки, установлено, что указана следующая услуга «Устранение дефектов и неисправностей с учетом материалов».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24 статьи 22 Закона о контрактной системе Правительство Российской Федерации вправе определить сферы деятельности, в которых при осуществлении закупок устанавливается порядок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"Росатом", Государственную корпорацию по космической деятельности "Роскосмос", уполномоченные устанавливать такой порядок с учетом положений 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отмечает, что электронный аукцион на оказание услуг по содержанию и обслуживанию территорий общего пользования, расположенные в микрорайоне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Восточный города Нягани сформирован с неопределенным объемом услуг по правилам, предусмотренным частью 24 статьи 22 Федерального закона от 05.04.2013 №44-ФЗ.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Применение данного способа определения цены закупки обусловлено тем, что в ходе исполнения контракта происходит выбор из определенного перечня услуг конкретной услуги в пределах имеющегося бюджета. Объем закупок по каждой услуге не определен и может быть любым.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указанные дефекты могут возникать от вандальных действий неизвестных лиц, и при заключении муниципального контракта невозможно определить дефекты, их виды и количество, указанные дефекты могут возникнуть ввиду обстоятельств неопределимой силы, указание каких-то конкретных дефектов ограничит конкуренцию, довод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довод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четвертого довода жалобы Комиссия Управления поясняет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25 описания объекта закупки установлено, что наименования услуг раздела объем услуг описания объекта закупки (приложение № 1 к извещению о проведении закупки) указана следующая услуга «Погрузка, разгрузка и установка деревянных трапов».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Податель жалобы указывает, что Заказчик не указывает места установки таких трапов, как должны устанавливаться такие трапы, случаи и обстоятельствах установки такие трапов, кем предоставляются трапы, а также одним из существенных обстоятельств является разграничение ответственности в случае, если данные трапы не отвечают требованиям безопасности эксплуатации.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аукционную документацию Заказчика, действительно не установлено обстоятельств касательно установки, места установки, кем должны устанавливаться.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довод Заявителя является обоснованным, Заказчиком нарушены требования пункта 1 части 1 статьи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пятого довода жалобы Комиссия Управления поясняет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26 описания объекта закупки, установлено, что указана следующая услуга «Вывоз деревянных трапов со склада - транспортировка (расстояние не более 5 км).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1) в описании объекта закупки указываются функциональные, технические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качественные характеристики, эксплуатационные характеристики объекта закупки (при необходимости).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 аукционной документации следует, что согласно приложению №1 к описанию объекта закупки установлено, что оказание услуг по содержанию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обслуживанию территорий общего пользования, расположенные в микрорайоне Восточный города Нягани, тем самым услуги по содержанию территорий осуществляются, согласно адресному перечню (приложение № 1 к описанию объекта закупки) по планам - заявкам Муниципального Заказчика, то есть в заявке конкретно будет указано место расположения склада.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следует отметить, что согласно части 5 статьи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Запросов разъяснений по данному вопросу от участника закупки не поступало. В случае получения запроса разъяснений аукционной документации Заказчиком было бы дано разъяснение о том, что трапы выдаются со склада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довод Заявителя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шестого довода жалобы Комиссия Управления поясняет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29 описания объекта закупки указана следующая услуга «Орошение рабочим раствором специального дезинфицирующего средства дог-боксов».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29, 30 приложения №1 к техническому заданию указано, что орошение дог- боксов производится рабочим раствором специального дезинфицирующего средства, промывка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осуществляется моющим средством.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93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следует, что исполнитель самостоятельно выбирает дезинфицирующее средство, которым будет обрабатывать дог-боксы, ввиду чего указание конкретного дезинфицирующего средства будет нарушение пункта 1 части 1 статьи 33 Закона о контрактной системе, данное установление повлечет ограничение конкуренции, ввиду чего довод Заявителя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седьмого довода жалобы Комиссия Управления поясняет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2.3 обязательных требований описания объекта закупки (приложение № 1 к извещению о проведении закупки) определено, что во время снегопада очистка территорий от снега производится в соответствии с ГОСТ Р 50597-2017 «Дороги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2.3 пункта 2 приложения №1 к извещению о закупке установлено обязательное требование: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658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 время снегопада очистка территорий от снега производится в соответствии с ГОСТ Р 50597-2017 «Дороги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контроля». При гололедице производить обработку территорий противогололедным составом в соответствии с ГОСТ Р 50597-2017 «Дороги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указанным ГОСТ Р 50597-2017 «Дороги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контроля», распоряжение Минтранса РФ от 16.06.2003 №ОС-548-р «Об утверждении ОДМ Руководство по борьбе с зимней скользкостью на автомобильных дорогах» обработке подлежат: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6" w:val="left"/>
        </w:tabs>
        <w:bidi w:val="0"/>
        <w:spacing w:before="0" w:after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дорожные части,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6" w:val="left"/>
        </w:tabs>
        <w:bidi w:val="0"/>
        <w:spacing w:before="0" w:after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тротуары,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6" w:val="left"/>
        </w:tabs>
        <w:bidi w:val="0"/>
        <w:spacing w:before="0" w:after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пешеходные зоны,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6" w:val="left"/>
        </w:tabs>
        <w:bidi w:val="0"/>
        <w:spacing w:before="0" w:after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площади,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6" w:val="left"/>
        </w:tabs>
        <w:bidi w:val="0"/>
        <w:spacing w:before="0" w:after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придомовые территории,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6" w:val="left"/>
        </w:tabs>
        <w:bidi w:val="0"/>
        <w:spacing w:before="0" w:after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пандусы,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-лестницы.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Заказчиком не предъявляются обязательные требования (в части применения ГОСТов), ГОСТ носит рекомендательный характер применения.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в приложении к извещению о закупке установлено, что качество оказанных услуг соответствует требованиям и нормам, указанным в решении Думы города Нягани от 28.10.2022г. № 135 «Об утверждении Правил благоустройства на территории города Нягани». Правила благоустройства являются нормативным правовым документом, обязательным для применения всеми юридическими и физическими лицами.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Тем самым, довод Заявителя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2 части 22 статьи 99 Закона о контрактной системе, при выявлении в результате проведения контрольным органом в сфере закупок плановых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9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решила выдать обязательное для исполнения предписание, в части внесения изменений в направляемый проект контракта Победителю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ИП Кравченко Андрея Геннадьевича (ИНН: 861004994980; ОГРН: 321861700093625) от 04.12.2023 № 12218/23 рассмотрена Комиссией Управления в соответствии с требованиями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86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6"/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26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Кравченко Андрея Геннадьевича (ИНН: 861004994980; ОГРН: 321861700093625) от 04.12.2023 № 12218/23, на действия Заказчика - Муниципальное казенное учреждение «Управление городского хозяйства», Уполномоченного органа - Администрация города Нягани, при проведении электронного аукциона, предметом которого является оказание услуг по содержанию и обслуживанию территорий общего пользования, расположенные в микрорайоне Восточный города Нягани (извещение № 0187300008123000471) частично обоснованной.</w:t>
      </w:r>
    </w:p>
    <w:p>
      <w:pPr>
        <w:pStyle w:val="Style13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803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Первый довод необоснованный.</w:t>
      </w:r>
    </w:p>
    <w:p>
      <w:pPr>
        <w:pStyle w:val="Style13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818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Второй довод необоснованный.</w:t>
      </w:r>
    </w:p>
    <w:p>
      <w:pPr>
        <w:pStyle w:val="Style13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808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Третий довод необоснованный.</w:t>
      </w:r>
    </w:p>
    <w:p>
      <w:pPr>
        <w:pStyle w:val="Style13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822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Четвертый довод является обоснованным.</w:t>
      </w:r>
    </w:p>
    <w:p>
      <w:pPr>
        <w:pStyle w:val="Style13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813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Пятый довод необоснованный.</w:t>
      </w:r>
    </w:p>
    <w:p>
      <w:pPr>
        <w:pStyle w:val="Style13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813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Шестой довод необоснованный.</w:t>
      </w:r>
    </w:p>
    <w:p>
      <w:pPr>
        <w:pStyle w:val="Style13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813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Седьмой довод необоснованный.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21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Заказчика - Муниципальное казенное учреждение «Управление городского хозяйства», Уполномоченного органа - Администрация города Нягани, нарушение положений пункта 1 частей 1 статьи 33 Федерального закона от 05.04.2013 И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57" w:val="left"/>
        </w:tabs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обязательное для исполнения предписание.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11" w:val="left"/>
        </w:tabs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уполномоченному должностному лицу Ханты-Мансийского УФАС России материалы дела для рассмотрения вопроса о привлечении должностных лиц, допустивших нарушение требований Закона о контрактной системе, к административной ответственности.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16" w:val="left"/>
        </w:tabs>
        <w:bidi w:val="0"/>
        <w:spacing w:before="0" w:after="0"/>
        <w:ind w:left="0" w:right="0" w:firstLine="5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8400" w:h="11900"/>
          <w:pgMar w:top="1267" w:right="767" w:bottom="1005" w:left="82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данное решение сторонам и опубликовать на официальном сайте единой информационной системы в сфере закупок («/«лу.хакирИ.доу.ги).</w:t>
      </w:r>
    </w:p>
    <w:p>
      <w:pPr>
        <w:pStyle w:val="Style13"/>
        <w:keepNext w:val="0"/>
        <w:keepLines w:val="0"/>
        <w:framePr w:w="1680" w:h="202" w:wrap="none" w:hAnchor="page" w:x="829" w:y="1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framePr w:w="1229" w:h="192" w:wrap="none" w:hAnchor="page" w:x="829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1"/>
        <w:keepNext w:val="0"/>
        <w:keepLines w:val="0"/>
        <w:framePr w:w="3600" w:h="278" w:wrap="none" w:hAnchor="page" w:x="824" w:y="3615"/>
        <w:widowControl w:val="0"/>
        <w:shd w:val="clear" w:color="auto" w:fill="auto"/>
        <w:bidi w:val="0"/>
        <w:spacing w:before="0" w:after="0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 месяцев с даты принятия.</w:t>
      </w:r>
    </w:p>
    <w:p>
      <w:pPr>
        <w:pStyle w:val="Style13"/>
        <w:keepNext w:val="0"/>
        <w:keepLines w:val="0"/>
        <w:framePr w:w="1080" w:h="211" w:wrap="none" w:hAnchor="page" w:x="6334" w:y="3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Ю.А. Петухова</w:t>
      </w:r>
    </w:p>
    <w:p>
      <w:pPr>
        <w:pStyle w:val="Style21"/>
        <w:keepNext w:val="0"/>
        <w:keepLines w:val="0"/>
        <w:framePr w:w="2515" w:h="173" w:wrap="none" w:hAnchor="page" w:x="5043" w:y="36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быть обжаловано в судебном порядке в течение трех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2128520</wp:posOffset>
            </wp:positionH>
            <wp:positionV relativeFrom="margin">
              <wp:posOffset>0</wp:posOffset>
            </wp:positionV>
            <wp:extent cx="2523490" cy="157861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23490" cy="15786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2790190</wp:posOffset>
            </wp:positionH>
            <wp:positionV relativeFrom="margin">
              <wp:posOffset>1606550</wp:posOffset>
            </wp:positionV>
            <wp:extent cx="1377950" cy="79248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377950" cy="7924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8400" w:h="11900"/>
          <w:pgMar w:top="513" w:right="843" w:bottom="813" w:left="82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1082040" distL="784860" distR="803275" simplePos="0" relativeHeight="125829380" behindDoc="0" locked="0" layoutInCell="1" allowOverlap="1">
            <wp:simplePos x="0" y="0"/>
            <wp:positionH relativeFrom="page">
              <wp:posOffset>1356360</wp:posOffset>
            </wp:positionH>
            <wp:positionV relativeFrom="paragraph">
              <wp:posOffset>12700</wp:posOffset>
            </wp:positionV>
            <wp:extent cx="335280" cy="38989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35280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96240" distB="874395" distL="288290" distR="300355" simplePos="0" relativeHeight="125829381" behindDoc="0" locked="0" layoutInCell="1" allowOverlap="1">
                <wp:simplePos x="0" y="0"/>
                <wp:positionH relativeFrom="page">
                  <wp:posOffset>859790</wp:posOffset>
                </wp:positionH>
                <wp:positionV relativeFrom="paragraph">
                  <wp:posOffset>408940</wp:posOffset>
                </wp:positionV>
                <wp:extent cx="1334770" cy="201295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7.700000000000003pt;margin-top:32.200000000000003pt;width:105.10000000000001pt;height:15.85pt;z-index:-125829372;mso-wrap-distance-left:22.699999999999999pt;mso-wrap-distance-top:31.199999999999999pt;mso-wrap-distance-right:23.650000000000002pt;mso-wrap-distance-bottom:68.85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670560" distB="0" distL="114300" distR="114300" simplePos="0" relativeHeight="125829383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683260</wp:posOffset>
                </wp:positionV>
                <wp:extent cx="1694815" cy="801370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801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</w:t>
                              <w:br/>
                              <w:t>службы по Ханты-Мапсинскому</w:t>
                              <w:br/>
                              <w:t>автономному округу - Югре</w:t>
                              <w:br/>
                              <w:t>ул. Мира, д. 27, Ханты-Мансийск, 628012</w:t>
                              <w:br/>
                              <w:t>телефош’факс (3467) 38-80-81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е-шай; со86@Га8.ёОУ.ги, сайт ЬКр:.7Ътао.Ггч.«оу.гп</w:t>
                              <w:br/>
                              <w:t>ИНН 860)009316 КПП 860)01001 ОГРН 1028600512093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4.pt;margin-top:53.800000000000004pt;width:133.44999999999999pt;height:63.100000000000001pt;z-index:-125829370;mso-wrap-distance-left:9.pt;mso-wrap-distance-top:52.800000000000004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</w:t>
                        <w:br/>
                        <w:t>службы по Ханты-Мапсинскому</w:t>
                        <w:br/>
                        <w:t>автономному округу - Югре</w:t>
                        <w:br/>
                        <w:t>ул. Мира, д. 27, Ханты-Мансийск, 628012</w:t>
                        <w:br/>
                        <w:t>телефош’факс (3467) 38-80-81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е-шай; со86@Га8.ёОУ.ги, сайт ЬКр:.7Ътао.Ггч.«оу.гп</w:t>
                        <w:br/>
                        <w:t>ИНН 860)009316 КПП 860)01001 ОГРН 1028600512093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 — АСТ"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119435, г. Москва, Большой Саввинский переулок, д. 12, стр.9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52" w:lineRule="auto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Кравченко Андрей Геннадьевич 628181, Ханты-Мансийский Автономный округ - Югра АО, г. Нягань, 3 мкр, дом 6, квартира 127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35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«Управление городского хозяйства» 628181, Ханты-Мансийский Автономный округ - Югра АО, г_ Нягань, 1 мкр, дом 50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35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города Нягани 628181, Ханты-Мансийский Автономный округ - Югра АО, г. Нягань, ул. Загородных, 7А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  <w:bookmarkEnd w:id="1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09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07.12.2023</w:t>
        <w:tab/>
        <w:t>г. Ханты-Мансийск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12.12.2023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28" w:val="left"/>
        </w:tabs>
        <w:bidi w:val="0"/>
        <w:spacing w:before="0" w:after="0" w:line="240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23" w:val="left"/>
        </w:tabs>
        <w:bidi w:val="0"/>
        <w:spacing w:before="0" w:after="0" w:line="240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Сафонов С.И - Специалист-эксперт отдела Управления;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28" w:val="left"/>
        </w:tabs>
        <w:bidi w:val="0"/>
        <w:spacing w:before="0" w:after="180" w:line="240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Петухова Ю.А.- Эксперт отдела Управления,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07.12.2023 № 086/06/33-2047/2023 о рассмотрении жалобы ИП Кравченко Андрея Геннадьевича (ИНН: 861004994980; ОГРН: 321861700093625) от 04.12.2023 № 12218/23, на действия Заказчика - Муниципальное казенное учреждение «Управление городского хозяйства», Уполномоченного органа - Администрация города Нягани, при проведении электронного аукциона, предметом которого является оказание услуг по содержанию и обслуживанию территорий общего пользования, расположенные в микрорайоне Восточный города Нягани (извещение № 0187300008123000471) и в результате осуществления внеплановой проверки в соответствии с пунктом 1 части 15 статьи 99 Федерального закона от 05.04.2013 И 44-ФЗ "О контрактной системе в сфере закупок товаров, работ, услуг для обеспечения государственных и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</w:t>
      </w:r>
      <w:bookmarkEnd w:id="2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2023-9655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margin">
              <wp:posOffset>1637030</wp:posOffset>
            </wp:positionH>
            <wp:positionV relativeFrom="margin">
              <wp:posOffset>1473835</wp:posOffset>
            </wp:positionV>
            <wp:extent cx="2572385" cy="225552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572385" cy="22555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муниципальных нужд" (далее - Закон о контрактной системе), Комиссия управления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2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устранения нарушений законодательства о контрактной системе Заказчику - Муниципальное казенное учреждение «Управление городского хозяйства», Уполномоченному органу — Администрации города Нягани совершить следующие действия: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06" w:val="left"/>
        </w:tabs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направляемый проект контракта Победителю закупки, согласно принятому решению от 07.12.2023 № 086/06/33-2047/2023.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предписание в срок до 26.12.2023 г.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02" w:val="left"/>
        </w:tabs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27.12.2023 г. представить в Управление Федеральной антимонопольной службы по Ханты-Мансийскому автономному округу - Югре информацию об исполнении предписания с приложением подтверждающих документов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документы могут быть в электронном виде)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.—-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02" w:val="left"/>
          <w:tab w:pos="5971" w:val="left"/>
        </w:tabs>
        <w:bidi w:val="0"/>
        <w:spacing w:before="0" w:after="48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Официальному сайту «то'Л'.хакиркгцоу.ги и оператору электронной площадки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обеспечить исполнение Заказчиком пункта 1 настоящего предписания. /у / /</w:t>
        <w:tab/>
        <w:t>/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5340" w:right="0" w:firstLine="0"/>
        <w:jc w:val="left"/>
      </w:pPr>
      <w:r>
        <mc:AlternateContent>
          <mc:Choice Requires="wps">
            <w:drawing>
              <wp:anchor distT="0" distB="454025" distL="114300" distR="114300" simplePos="0" relativeHeight="125829385" behindDoc="0" locked="0" layoutInCell="1" allowOverlap="1">
                <wp:simplePos x="0" y="0"/>
                <wp:positionH relativeFrom="page">
                  <wp:posOffset>4011295</wp:posOffset>
                </wp:positionH>
                <wp:positionV relativeFrom="margin">
                  <wp:posOffset>2244725</wp:posOffset>
                </wp:positionV>
                <wp:extent cx="673735" cy="12827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Валиуллин Р.Р.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15.85000000000002pt;margin-top:176.75pt;width:53.050000000000004pt;height:10.1pt;z-index:-125829368;mso-wrap-distance-left:9.pt;mso-wrap-distance-right:9.pt;mso-wrap-distance-bottom:35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Валиуллин Р.Р.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54025" distB="0" distL="151130" distR="129540" simplePos="0" relativeHeight="125829387" behindDoc="0" locked="0" layoutInCell="1" allowOverlap="1">
                <wp:simplePos x="0" y="0"/>
                <wp:positionH relativeFrom="page">
                  <wp:posOffset>4048125</wp:posOffset>
                </wp:positionH>
                <wp:positionV relativeFrom="margin">
                  <wp:posOffset>2698750</wp:posOffset>
                </wp:positionV>
                <wp:extent cx="621665" cy="12827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Сафонов С.И.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18.75pt;margin-top:212.5pt;width:48.950000000000003pt;height:10.1pt;z-index:-125829366;mso-wrap-distance-left:11.9pt;mso-wrap-distance-top:35.75pt;mso-wrap-distance-right:10.2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Сафонов С.И.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Петухова Ю.А.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но суи/бвцзву, может быть обжаловано в судебной порядке в течение трех месяцев с даты принятия.</w:t>
      </w:r>
    </w:p>
    <w:sectPr>
      <w:footerReference w:type="default" r:id="rId17"/>
      <w:footerReference w:type="first" r:id="rId18"/>
      <w:footnotePr>
        <w:pos w:val="pageBottom"/>
        <w:numFmt w:val="decimal"/>
        <w:numRestart w:val="continuous"/>
      </w:footnotePr>
      <w:pgSz w:w="8400" w:h="11900"/>
      <w:pgMar w:top="1236" w:right="672" w:bottom="964" w:left="960" w:header="0" w:footer="3" w:gutter="0"/>
      <w:pgNumType w:start="12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567055</wp:posOffset>
              </wp:positionH>
              <wp:positionV relativeFrom="page">
                <wp:posOffset>6981825</wp:posOffset>
              </wp:positionV>
              <wp:extent cx="426720" cy="7620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72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2023-9645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4.649999999999999pt;margin-top:549.75pt;width:33.600000000000001pt;height:6.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2023-9645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605790</wp:posOffset>
              </wp:positionH>
              <wp:positionV relativeFrom="page">
                <wp:posOffset>6875780</wp:posOffset>
              </wp:positionV>
              <wp:extent cx="433070" cy="7620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307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2023-9645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7.700000000000003pt;margin-top:541.39999999999998pt;width:34.100000000000001pt;height:6.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2023-9645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649605</wp:posOffset>
              </wp:positionH>
              <wp:positionV relativeFrom="page">
                <wp:posOffset>7007225</wp:posOffset>
              </wp:positionV>
              <wp:extent cx="423545" cy="6985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354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2023-9655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1.149999999999999pt;margin-top:551.75pt;width:33.350000000000001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2023-9655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6">
    <w:name w:val="Основной текст (6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17"/>
      <w:szCs w:val="17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22">
    <w:name w:val="Основной текст (3)_"/>
    <w:basedOn w:val="DefaultParagraphFont"/>
    <w:link w:val="Style21"/>
    <w:rPr>
      <w:rFonts w:ascii="Times New Roman" w:eastAsia="Times New Roman" w:hAnsi="Times New Roman" w:cs="Times New Roman"/>
      <w:b/>
      <w:bCs/>
      <w:i/>
      <w:iCs/>
      <w:smallCaps w:val="0"/>
      <w:strike w:val="0"/>
      <w:sz w:val="10"/>
      <w:szCs w:val="10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5">
    <w:name w:val="Основной текст (6)"/>
    <w:basedOn w:val="Normal"/>
    <w:link w:val="CharStyle6"/>
    <w:pPr>
      <w:widowControl w:val="0"/>
      <w:shd w:val="clear" w:color="auto" w:fill="auto"/>
      <w:ind w:firstLine="840"/>
    </w:pPr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17"/>
      <w:szCs w:val="17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line="288" w:lineRule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spacing w:line="28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11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21">
    <w:name w:val="Основной текст (3)"/>
    <w:basedOn w:val="Normal"/>
    <w:link w:val="CharStyle22"/>
    <w:pPr>
      <w:widowControl w:val="0"/>
      <w:shd w:val="clear" w:color="auto" w:fill="auto"/>
      <w:spacing w:line="252" w:lineRule="auto"/>
      <w:ind w:firstLine="47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10"/>
      <w:szCs w:val="10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line="334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Relationship Id="rId13" Type="http://schemas.openxmlformats.org/officeDocument/2006/relationships/image" Target="media/image4.png"/><Relationship Id="rId14" Type="http://schemas.openxmlformats.org/officeDocument/2006/relationships/image" Target="media/image4.png" TargetMode="External"/><Relationship Id="rId15" Type="http://schemas.openxmlformats.org/officeDocument/2006/relationships/image" Target="media/image5.png"/><Relationship Id="rId16" Type="http://schemas.openxmlformats.org/officeDocument/2006/relationships/image" Target="media/image5.png" TargetMode="External"/><Relationship Id="rId17" Type="http://schemas.openxmlformats.org/officeDocument/2006/relationships/footer" Target="footer3.xml"/><Relationship Id="rId18" Type="http://schemas.openxmlformats.org/officeDocument/2006/relationships/footer" Target="footer4.xml"/></Relationships>
</file>