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12700</wp:posOffset>
                </wp:positionV>
                <wp:extent cx="2584450" cy="384683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3846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720" w:right="0" w:firstLine="0"/>
                              <w:jc w:val="left"/>
                              <w:rPr>
                                <w:sz w:val="280"/>
                                <w:szCs w:val="28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561A2"/>
                                <w:spacing w:val="0"/>
                                <w:w w:val="100"/>
                                <w:position w:val="0"/>
                                <w:sz w:val="280"/>
                                <w:szCs w:val="280"/>
                                <w:shd w:val="clear" w:color="auto" w:fill="auto"/>
                                <w:lang w:val="ru-RU" w:eastAsia="ru-RU" w:bidi="ru-RU"/>
                              </w:rPr>
                              <w:t>•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9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18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2,12.2023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9275/23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54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 делу № 034/06/105-1451/2023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5pt;margin-top:1.pt;width:203.5pt;height:302.9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720" w:right="0" w:firstLine="0"/>
                        <w:jc w:val="left"/>
                        <w:rPr>
                          <w:sz w:val="280"/>
                          <w:szCs w:val="280"/>
                        </w:rPr>
                      </w:pPr>
                      <w:r>
                        <w:rPr>
                          <w:rFonts w:ascii="Arial" w:eastAsia="Arial" w:hAnsi="Arial" w:cs="Arial"/>
                          <w:color w:val="4561A2"/>
                          <w:spacing w:val="0"/>
                          <w:w w:val="100"/>
                          <w:position w:val="0"/>
                          <w:sz w:val="280"/>
                          <w:szCs w:val="280"/>
                          <w:shd w:val="clear" w:color="auto" w:fill="auto"/>
                          <w:lang w:val="ru-RU" w:eastAsia="ru-RU" w:bidi="ru-RU"/>
                        </w:rPr>
                        <w:t>•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94" w:val="left"/>
                        </w:tabs>
                        <w:bidi w:val="0"/>
                        <w:spacing w:before="0" w:after="320" w:line="240" w:lineRule="auto"/>
                        <w:ind w:left="0" w:right="0" w:firstLine="18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2,12.2023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9275/23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54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 делу № 034/06/105-1451/2023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 в сфере закупок Волгоградской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до8xакаx@Vо1дапе1:.^и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наб. Тараса Шевченко, д. 23А, пом. 1,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Москва, 121151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ко@118-1еп4ег.ги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"Клиническая больница скорой медицинской помощи № 15"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Андижанская, д. 1а, Волгоград, 400026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кЬ8тр15@Ао1дапе1.ги;/акирк|ти/ 15@таП 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Баранзаев Б.Б.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Терешковой, д. 34А, кв. 34, г. Улан-Удэ, республика Бурятия, 670031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Ъагап2ае^ауаг@дтаП.сот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034/06/105-1451/2023</w:t>
        <w:br/>
        <w:t>о нарушении законодательства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6414135</wp:posOffset>
                </wp:positionH>
                <wp:positionV relativeFrom="paragraph">
                  <wp:posOffset>12700</wp:posOffset>
                </wp:positionV>
                <wp:extent cx="758825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Волгоград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05.05000000000001pt;margin-top:1.pt;width:59.75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Волгоград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 декабря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Волгоградское УФАС России, Управление) по контролю за соблюдением законодательства о контрактной системе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рекламы, осуществляя рассмотрение жалобы дистанционно (посредством видеоконференцсвязи), с участием: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Фертиковой М.С. - представителя ИП Баранзаева Б.Б. на основании доверенности от 04.09.2023;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536" w:bottom="1217" w:left="1101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Прядкиной И.В. - представителя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ГУЗ «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Клиническая больница скорой медицинской помощи № 15» на основании доверенности от 03.02.2022;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Недохлебова В.В. - представителя комитета по регулированию контрактной системы в сфере закупок Волгоградской области на основании доверенности от 11.11.2022,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Баранзаева Б.Б. вх. № 11317/23 от 01.12.2023 на положения извещения о проведении электронного аукциона «Поставка расходного материала для проведения процедуры гемодиализа на аппарате «Искусственная почка»-магистрали» (номер извещения 0129200005323003386),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официальном сайте (далее - ЕИС) 22.11.2023 было размещено извещение о проведении электронного аукциона «Поставка расходного материала для проведения процедуры гемодиализа на аппарате «Искусственная почка»-магистрали» (номер извещения 0129200005323003386). Начальная (максимальная) цена контракта 11 339 664, 80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Заказчиком нарушены положения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установлении требований к объекту закупки, в части применения неверной позиции Каталога товаров, работ, услуг (далее - КТРУ) 32.50.50.190-00000663 «Набор компонентов для системы гемодиализа/гемофильтрации».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обоснование своей позиции Заявитель ссылается на то, что в пунктах 1 и 2 «Описание объекта закупки» заказчик должен применить позицию КТРУ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- </w:t>
      </w:r>
      <w:r>
        <w:fldChar w:fldCharType="begin"/>
      </w:r>
      <w:r>
        <w:rPr/>
        <w:instrText> HYPERLINK "https://zakupki.gov.ru/epz/ktru/ktruCard/commonInfo.html?itemId=69608"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22.21.29.120</w:t>
        <w:softHyphen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</w:r>
      <w:r>
        <w:fldChar w:fldCharType="begin"/>
      </w:r>
      <w:r>
        <w:rPr/>
        <w:instrText> HYPERLINK "https://zakupki.gov.ru/epz/ktru/ktruCard/commonInfo.html?itemId=69608"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00000027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«Набор трубок для гемодиализа, одноразового использования», в пунктах 3-6 - позицию КТРУ - 32.50.50.190-00002842 «Диализатор для гемодиализа с полными волокнами, одноразового использования», так как именно они более соответствуют описанию объекта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4 Правил использования каталога товаров, работ, услуг для обеспечения государственных и муниципальных нужд,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(далее- Правила),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данной закупки является «Поставка расходного материала для проведения процедуры гемодиализа на аппарате «Искусственная почка»-магистрали.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предмета закупки заказчиком был применен код КТРУ 32.50.50.190</w:t>
        <w:softHyphen/>
        <w:t>00000663 - «Набор компонентов для системы гемодиализа/гемофильтрации».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в КТРУ содержатся позиции - 22.21.29.120-0000027 и 32.50.50.190-00002842, на которые ссылается Заявитель, и позиция 32.50.50.190-00000663, которую применил заказчик.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описанию объекта закупки, и самому предмету закупки полностью соответствует позиция КТРУ 32.50.50.190-00000663.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позиция КТРУ 32.50.50.190-00000663 обоснованно применена заказчиком в рамках данной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того, что позиция КТРУ 32.50.50.190-00000663 не соответствует описанию объекта закупки и ее предмету, Заявителем не представлено.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того, что позиция КТРУ 32.50.50.190-00000663 обоснованно применена заказчиком, довод Заявителя о нарушении положений ст. 29 Закона о контрактной системе также является необоснованным ввиду следующего.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29 Закона о контрактной системе представлены преимущества организациям инвалидам.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29 Закона о контрактной системе перечень товаров, работ, услуг, при осуществлении закупок, которых предоставляются преимущества в соответствии с настоящей статьей, утверждается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КТРУ 32.50.50.190-00000663 содержит код ОКПД2 32.50.50.190 - «Изделия медицинские, в том числе хирургические, прочие, не включенные в другие группировки». Данный товар, с кодом ОКПД2 32.50.50.190 включен в перечень товаров, работ, услуг, при осуществлении закупок, которых предоставляются преимущества участнику закупки, являющемуся организацией инвалидов, в соответствии со статьей 29 федерального закона «О контрактной системе в сфере закупок товаров, работ, услуг для обеспечения государственных и муниципальных нужд», утвержденных распоряжением Правительства Российской Федерации от 08.12.2021 № 3500-р.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ссылается на то, что согласно Постановлению Правительства Российской Федерации от 19.04.2021 № 620,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в настоящем случае осуществляется только поставка товара, предусмотренного позицией КТРУ 32.50.50.190-00000663.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настоящем случае, доказательств того, заказчиком осуществляется закупка различных видов медицинских изделий, в нарушение Постановления Правительства Российской Федерации от 19.04.2021 № 620, не представлено.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жалоба ИП Баранзаева Б.Б. на положения извещения о проведении электронного аукциона «Поставка расходного материала для проведения процедура» (номер извещения 0129200005323003386) является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отмечает, что на участие в закупке было подано 3 заявки. Снижение НМЦК по результатам проведения закупки составило 44,5 %.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всего вышеизложенного,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Баранзаева Б.Б. на положения извещения о проведении электронного аукциона «Поставка расходного материала для проведения процедура» (номер извещения 0129200005323003386) необоснованной.</w:t>
      </w:r>
    </w:p>
    <w:p>
      <w:pPr>
        <w:widowControl w:val="0"/>
        <w:spacing w:line="1" w:lineRule="exact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2" w:right="536" w:bottom="135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371475" distL="0" distR="0" simplePos="0" relativeHeight="125829382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469900</wp:posOffset>
                </wp:positionV>
                <wp:extent cx="170053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450000000000003pt;margin-top:37.pt;width:133.90000000000001pt;height:18.5pt;z-index:-125829371;mso-wrap-distance-left:0;mso-wrap-distance-top:3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2925" distB="0" distL="0" distR="1786255" simplePos="0" relativeHeight="125829384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542925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945515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65000000000001pt;margin-top:7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631190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49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371475" distL="0" distR="0" simplePos="0" relativeHeight="125829385" behindDoc="0" locked="0" layoutInCell="1" allowOverlap="1">
                <wp:simplePos x="0" y="0"/>
                <wp:positionH relativeFrom="page">
                  <wp:posOffset>6158865</wp:posOffset>
                </wp:positionH>
                <wp:positionV relativeFrom="paragraph">
                  <wp:posOffset>469900</wp:posOffset>
                </wp:positionV>
                <wp:extent cx="102997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94999999999999pt;margin-top:37.pt;width:81.100000000000009pt;height:18.5pt;z-index:-125829368;mso-wrap-distance-left:0;mso-wrap-distance-top:3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00Е089956625616472479Е43Р5ЕЕ0ВСЕ85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05.07.2023 </w:t>
      </w:r>
      <w:r>
        <w:rPr>
          <w:rFonts w:ascii="Arial" w:eastAsia="Arial" w:hAnsi="Arial" w:cs="Arial"/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27.09.2024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65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0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С.В. Моисеев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Моисеев Сергей Владимирович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00ОА54679929Е6Е1Е4ВО7ВЮО1А284АЗА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05.05.2023 по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28.07.2024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65000000000001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30000000000001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Субботин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Субботин Андрей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00Е8С035АА7ЕС5ЕЕ57ССВ81А57О38ЕАС4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05.10.2022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29.12.2023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Арбитражный суд Волгоградской области в течение трех месяцев со дня его принятия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Исп.Субботин А.А. тел.8(8442) 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5" w:bottom="16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2023-9620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2023-9620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2023-9620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8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2023-9620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