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Красноярскому краю</w:t>
      </w:r>
    </w:p>
    <w:p>
      <w:pPr>
        <w:pStyle w:val="Style5"/>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пр. Мира, 81 д, г. Красноярск, 660017</w:t>
        <w:br/>
        <w:t>тел. (391) 211-00-00, факс (391) 211-01-14</w:t>
        <w:br/>
        <w:t>е-таП: 1о24й</w:t>
      </w:r>
      <w:r>
        <w:rPr>
          <w:spacing w:val="0"/>
          <w:w w:val="100"/>
          <w:position w:val="0"/>
          <w:shd w:val="clear" w:color="auto" w:fill="auto"/>
          <w:vertAlign w:val="subscript"/>
          <w:lang w:val="ru-RU" w:eastAsia="ru-RU" w:bidi="ru-RU"/>
        </w:rPr>
        <w:t>;</w:t>
      </w:r>
      <w:r>
        <w:rPr>
          <w:spacing w:val="0"/>
          <w:w w:val="100"/>
          <w:position w:val="0"/>
          <w:shd w:val="clear" w:color="auto" w:fill="auto"/>
          <w:lang w:val="ru-RU" w:eastAsia="ru-RU" w:bidi="ru-RU"/>
        </w:rPr>
        <w:t>Таа.ао\'.ги</w:t>
      </w:r>
    </w:p>
    <w:p>
      <w:pPr>
        <w:pStyle w:val="Style8"/>
        <w:keepNext w:val="0"/>
        <w:keepLines w:val="0"/>
        <w:widowControl w:val="0"/>
        <w:shd w:val="clear" w:color="auto" w:fill="auto"/>
        <w:tabs>
          <w:tab w:leader="underscore" w:pos="1762" w:val="left"/>
          <w:tab w:leader="underscore" w:pos="3926" w:val="left"/>
        </w:tabs>
        <w:bidi w:val="0"/>
        <w:spacing w:before="0" w:after="240" w:line="264" w:lineRule="auto"/>
        <w:ind w:left="0" w:right="0" w:firstLine="0"/>
        <w:jc w:val="both"/>
        <w:rPr>
          <w:sz w:val="18"/>
          <w:szCs w:val="18"/>
        </w:rPr>
      </w:pPr>
      <w:r>
        <w:rPr>
          <w:b w:val="0"/>
          <w:bCs w:val="0"/>
          <w:spacing w:val="0"/>
          <w:w w:val="100"/>
          <w:position w:val="0"/>
          <w:sz w:val="18"/>
          <w:szCs w:val="18"/>
          <w:shd w:val="clear" w:color="auto" w:fill="auto"/>
          <w:lang w:val="ru-RU" w:eastAsia="ru-RU" w:bidi="ru-RU"/>
        </w:rPr>
        <w:tab/>
        <w:t xml:space="preserve"> №</w:t>
        <w:tab/>
      </w:r>
    </w:p>
    <w:p>
      <w:pPr>
        <w:pStyle w:val="Style1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  от</w:t>
      </w:r>
    </w:p>
    <w:p>
      <w:pPr>
        <w:widowControl w:val="0"/>
        <w:jc w:val="center"/>
        <w:rPr>
          <w:sz w:val="2"/>
          <w:szCs w:val="2"/>
        </w:rPr>
      </w:pPr>
      <w:r>
        <w:drawing>
          <wp:inline>
            <wp:extent cx="2597150" cy="18288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182880"/>
                    </a:xfrm>
                    <a:prstGeom prst="rect"/>
                  </pic:spPr>
                </pic:pic>
              </a:graphicData>
            </a:graphic>
          </wp:inline>
        </w:drawing>
      </w:r>
    </w:p>
    <w:p>
      <w:pPr>
        <w:spacing w:lineRule="exact" w:line="1"/>
        <w:rPr>
          <w:sz w:val="2"/>
          <w:szCs w:val="2"/>
        </w:rPr>
      </w:pPr>
      <w:r>
        <w:br w:type="column"/>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ООО «Умные устройства»</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ул. Новорязанская, 18 стр.2, г. Москва,107078 8таг1_до8@Ьк.ш</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Агентство государственного заказа Красноярского края</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проспект Мира, д.10, оф.53 г.Красноярск, 660049</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адх_81а8@таП.ш; адх_рпет@таП.ш</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Краевое государственное бюджетное учреждение социального обслуживания «Комплексный центр социального обслуживания населения «Октябрьский» ул.Петра Словцова, 9, пом.145 г. Красноярск, 660130</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ти012@Н81.ш</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АО «ТЭК-Торг»</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Гамсоновский переулок, д. 5, стр. 2 5-ый этаж, помещение VII, г. Москва, 115191</w:t>
      </w:r>
    </w:p>
    <w:p>
      <w:pPr>
        <w:pStyle w:val="Style13"/>
        <w:keepNext w:val="0"/>
        <w:keepLines w:val="0"/>
        <w:widowControl w:val="0"/>
        <w:shd w:val="clear" w:color="auto" w:fill="auto"/>
        <w:bidi w:val="0"/>
        <w:spacing w:before="0" w:after="0" w:line="240" w:lineRule="auto"/>
        <w:ind w:left="0" w:right="0" w:firstLine="0"/>
        <w:jc w:val="left"/>
        <w:sectPr>
          <w:footerReference w:type="default" r:id="rId9"/>
          <w:footnotePr>
            <w:pos w:val="pageBottom"/>
            <w:numFmt w:val="decimal"/>
            <w:numRestart w:val="continuous"/>
          </w:footnotePr>
          <w:pgSz w:w="11900" w:h="16840"/>
          <w:pgMar w:top="284" w:right="781" w:bottom="1226" w:left="1140" w:header="0" w:footer="3" w:gutter="0"/>
          <w:pgNumType w:start="1"/>
          <w:cols w:num="2" w:space="720" w:equalWidth="0">
            <w:col w:w="4090" w:space="1176"/>
            <w:col w:w="4714"/>
          </w:cols>
          <w:noEndnote/>
          <w:rtlGutter w:val="0"/>
          <w:docGrid w:linePitch="360"/>
        </w:sectPr>
      </w:pPr>
      <w:r>
        <w:rPr>
          <w:color w:val="000000"/>
          <w:spacing w:val="0"/>
          <w:w w:val="100"/>
          <w:position w:val="0"/>
          <w:sz w:val="24"/>
          <w:szCs w:val="24"/>
          <w:shd w:val="clear" w:color="auto" w:fill="auto"/>
          <w:lang w:val="ru-RU" w:eastAsia="ru-RU" w:bidi="ru-RU"/>
        </w:rPr>
        <w:t>Ье1р@1ек1огд.ги</w:t>
      </w:r>
    </w:p>
    <w:p>
      <w:pPr>
        <w:widowControl w:val="0"/>
        <w:spacing w:line="164" w:lineRule="exact"/>
        <w:rPr>
          <w:sz w:val="13"/>
          <w:szCs w:val="13"/>
        </w:rPr>
      </w:pPr>
    </w:p>
    <w:p>
      <w:pPr>
        <w:widowControl w:val="0"/>
        <w:spacing w:line="1" w:lineRule="exact"/>
        <w:sectPr>
          <w:footnotePr>
            <w:pos w:val="pageBottom"/>
            <w:numFmt w:val="decimal"/>
            <w:numRestart w:val="continuous"/>
          </w:footnotePr>
          <w:type w:val="continuous"/>
          <w:pgSz w:w="11900" w:h="16840"/>
          <w:pgMar w:top="284" w:right="0" w:bottom="1226" w:left="0" w:header="0" w:footer="3" w:gutter="0"/>
          <w:cols w:space="720"/>
          <w:noEndnote/>
          <w:rtlGutter w:val="0"/>
          <w:docGrid w:linePitch="360"/>
        </w:sectPr>
      </w:pPr>
    </w:p>
    <w:p>
      <w:pPr>
        <w:pStyle w:val="Style13"/>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Решение № 024/06/106-3546/2023</w:t>
      </w:r>
    </w:p>
    <w:p>
      <w:pPr>
        <w:pStyle w:val="Style13"/>
        <w:keepNext w:val="0"/>
        <w:keepLines w:val="0"/>
        <w:widowControl w:val="0"/>
        <w:shd w:val="clear" w:color="auto" w:fill="auto"/>
        <w:tabs>
          <w:tab w:pos="8741" w:val="left"/>
        </w:tabs>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12 декабря 2023 года</w:t>
        <w:tab/>
        <w:t>г. Красноярск</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Комиссия Красноярского УФАС России по контролю в сфере закупок в составе: Председатель Комиссии - М.А. Дударева, заместитель руководителя — начальник отдела, члены Комиссии: М.А. Грицай, начальник отдела, Е.М. Хоменко, главный специалист - эксперт (далее — Комиссия), рассмотрев жалобу ООО «Умные устройства» (далее - податель жалобы) на действия аукционной комиссии уполномоченного органа Агентства государственного заказа Красноярского края (далее — аукционная комиссия, уполномоченный орган) при определении поставщика (подрядчика, исполнителя) путем проведения аукциона в электронной форме ЭА-№-21051/23 «Поставка сенсорного информационного киоска» с извещением № 0119200000123020240 (далее - электронный аукцион), размещенного на электронной площадке АО «ТЭК-Торг» (далее - оператор электронной площадки), установила следующее.</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Существо жалобы: нарушение аукционной комиссией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при рассмотрении заявок участников электронного аукциона.</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Жалоба подана в Красноярское УФАС России в срок, установленный частью 2 статьи 105 Закона о контрактной системе, соответствовала требованиям статьи 105 указанного закона, в связи с чем подлежала принятию к рассмотрению.</w:t>
      </w:r>
    </w:p>
    <w:p>
      <w:pPr>
        <w:pStyle w:val="Style13"/>
        <w:keepNext w:val="0"/>
        <w:keepLines w:val="0"/>
        <w:widowControl w:val="0"/>
        <w:shd w:val="clear" w:color="auto" w:fill="auto"/>
        <w:bidi w:val="0"/>
        <w:spacing w:before="0" w:after="400" w:line="240" w:lineRule="auto"/>
        <w:ind w:left="0" w:right="0" w:firstLine="600"/>
        <w:jc w:val="both"/>
      </w:pPr>
      <w:r>
        <w:rPr>
          <w:color w:val="000000"/>
          <w:spacing w:val="0"/>
          <w:w w:val="100"/>
          <w:position w:val="0"/>
          <w:sz w:val="24"/>
          <w:szCs w:val="24"/>
          <w:shd w:val="clear" w:color="auto" w:fill="auto"/>
          <w:lang w:val="ru-RU" w:eastAsia="ru-RU" w:bidi="ru-RU"/>
        </w:rPr>
        <w:t>В адрес заказчика — Краевого государственного бюджетного учреждения социального обслуживания «Комплексный центр социального обслуживания населения «Октябрьский» (далее — заказчик), аукционной комиссии, уполномоченного органа, подателя жалобы, оператора электронной площадки было направлено уведомление о содержании жалобы с информацией о</w:t>
      </w:r>
    </w:p>
    <w:p>
      <w:pPr>
        <w:pStyle w:val="Style15"/>
        <w:keepNext/>
        <w:keepLines/>
        <w:widowControl w:val="0"/>
        <w:shd w:val="clear" w:color="auto" w:fill="auto"/>
        <w:bidi w:val="0"/>
        <w:spacing w:before="0" w:line="240" w:lineRule="auto"/>
        <w:ind w:left="0" w:right="0" w:firstLine="0"/>
        <w:jc w:val="left"/>
        <w:sectPr>
          <w:footnotePr>
            <w:pos w:val="pageBottom"/>
            <w:numFmt w:val="decimal"/>
            <w:numRestart w:val="continuous"/>
          </w:footnotePr>
          <w:type w:val="continuous"/>
          <w:pgSz w:w="11900" w:h="16840"/>
          <w:pgMar w:top="284" w:right="541" w:bottom="1226" w:left="1097" w:header="0" w:footer="3" w:gutter="0"/>
          <w:cols w:space="720"/>
          <w:noEndnote/>
          <w:rtlGutter w:val="0"/>
          <w:docGrid w:linePitch="360"/>
        </w:sectPr>
      </w:pPr>
      <w:bookmarkStart w:id="0" w:name="bookmark0"/>
      <w:r>
        <w:rPr>
          <w:color w:val="000000"/>
          <w:spacing w:val="0"/>
          <w:w w:val="100"/>
          <w:position w:val="0"/>
          <w:shd w:val="clear" w:color="auto" w:fill="auto"/>
          <w:lang w:val="ru-RU" w:eastAsia="ru-RU" w:bidi="ru-RU"/>
        </w:rPr>
        <w:t>ПНИ 1111111111IIIIIIII</w:t>
      </w:r>
      <w:bookmarkEnd w:id="0"/>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месте и времени ее рассмотрения.</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заседании Комиссии по рассмотрению жалобы по существу приняла личное участие представитель уполномоченного органа, аукционной комиссии, надлежащим образом подтвердившая свою личность и полномочия. Заказчик, податель жалобы, надлежащим образом уведомленные о времени и месте проведения указанного заседания Комиссии, явку своих представителей на указанное заседание Комиссии не обеспечили, при том обстоятельстве, что на основании ходатайства подателя жалобы Красноярское УФАС России предоставило ему заблаговременно возможность для участия в рассмотрении жалобы с использованием средств видеоконференцсвязи.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Из доводов жалобы следует, что согласно протоколу подведения итогов определения поставщика (подрядчика, исполнителя) от 01.12.2023 №ИЭА1 аукционная комиссия при рассмотрении заявок на участие в электронном аукционе применила условия Постановления Правительства Российской Федерации от 10.07.2019 № 878, позволяющие отклонять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этом соответствующими условиям извещения о проведении электронного аукциона были признаны несколько заявок, в том числе, заявка подателя жалобы. В составе своей заявки податель жалобы представил информацию о первом уровне радиоэлектронной продукции. Таким образом, податель жалобы полагает, что иным допущенным участником в составе заявки не была предоставлена необходимая информация, и что заявки были рассмотрены аукционной комиссией ненадлежащим образом.</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адрес Красноярского УФАС России аукционной комиссией, уполномоченным органом были представлены письменные возражения, сообщающие о том, что при проведении электронного аукциона в извещении был правомерно установлен национальный режим на условиях Постановления Правительства Российской Федерации от 10.07.2019 № 878. При этом, в заявке победителя электронного аукциона был продекларирован номер реестровой записи 2890\3\2023 из российского реестра радиоэлектронной продукции с продукцией первого уровня. Следовательно, рассмотрение заявок участников электронного аукциона проведено аукционной комиссией в соответствии с требованиями Закона о контрактной системе и Постановления Правительства Российской Федерации от 10.07.2019 № 878.</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Рассмотрев существо жалобы,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проанализировав нормы позитивного права, регулирующие рассматриваемые правоотношения,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связи с возникшей потребностью у заказчика уполномоченным органом были совершены действия по определению поставщика (подрядчика, исполнителя) путем проведения электронного запроса котировок.</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 основании пункта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pPr>
        <w:pStyle w:val="Style13"/>
        <w:keepNext w:val="0"/>
        <w:keepLines w:val="0"/>
        <w:widowControl w:val="0"/>
        <w:shd w:val="clear" w:color="auto" w:fill="auto"/>
        <w:bidi w:val="0"/>
        <w:spacing w:before="0" w:after="0" w:line="336" w:lineRule="auto"/>
        <w:ind w:left="0" w:right="0" w:firstLine="580"/>
        <w:jc w:val="both"/>
        <w:sectPr>
          <w:footerReference w:type="default" r:id="rId10"/>
          <w:footnotePr>
            <w:pos w:val="pageBottom"/>
            <w:numFmt w:val="decimal"/>
            <w:numRestart w:val="continuous"/>
          </w:footnotePr>
          <w:pgSz w:w="11900" w:h="16840"/>
          <w:pgMar w:top="1119" w:right="541" w:bottom="525" w:left="1106" w:header="691" w:footer="97" w:gutter="0"/>
          <w:cols w:space="720"/>
          <w:noEndnote/>
          <w:rtlGutter w:val="0"/>
          <w:docGrid w:linePitch="360"/>
        </w:sectPr>
      </w:pPr>
      <w:r>
        <w:rPr>
          <w:color w:val="000000"/>
          <w:spacing w:val="0"/>
          <w:w w:val="100"/>
          <w:position w:val="0"/>
          <w:sz w:val="24"/>
          <w:szCs w:val="24"/>
          <w:shd w:val="clear" w:color="auto" w:fill="auto"/>
          <w:lang w:val="ru-RU" w:eastAsia="ru-RU" w:bidi="ru-RU"/>
        </w:rPr>
        <w:t>Пунктом 5 части 1 статьи 43 Закона о контрактной системе предусмотрено, что для участия в конкурентном способе заявка на участие в закупке, если иное не предусмотрено Законом о 2023-22111</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контрактной системе, должна содержать информацию и документы, предусмотренные нормативными правовыми актами, принятыми в соответствии с частями 3 и 4 статьи 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силу части 1 статьи 14 Закона о контрактной системе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части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Во исполнение статьи 14 Закона о контрактной системе Правительством Российской Федерации принято Постановление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 878).</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Постановлением № 878 утвержден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(далее — перечень).</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сведениям извещения о проведении электронного аукциона объектом закупки является поставка сенсорного информационного киоска (информационного терминала) (код ОКПД2 26.20.16.140, код позиции КТРУ 26.20.16.140-00000011), которые образуют позицию 10 перечня. Таким образом, заказчиком, уполномоченным органом в извещении о проведении электронного аукциона правомерно были установлены ограничения и условия допуска в соответствии с Постановлением № 878.</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пунктом 3 Постановления № 878, при осуществлении закупок радиоэлектронной продукции, включенной в перечень, за исключением установленного пунктом 3(1) Постановления № 878 случая,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случае если Законом о контрактной системе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Пунктом 3(2) Постановления № 878 установлено, что за исключением случаев, установленных Постановлением № 878:</w:t>
      </w:r>
    </w:p>
    <w:p>
      <w:pPr>
        <w:pStyle w:val="Style13"/>
        <w:keepNext w:val="0"/>
        <w:keepLines w:val="0"/>
        <w:widowControl w:val="0"/>
        <w:numPr>
          <w:ilvl w:val="0"/>
          <w:numId w:val="1"/>
        </w:numPr>
        <w:shd w:val="clear" w:color="auto" w:fill="auto"/>
        <w:tabs>
          <w:tab w:pos="799"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подтверждением страны происхождения радиоэлектронной продукции является наличие сведений о такой продукции в реестре или евразийском реестре 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экономического союза (далее - евразийский реестр промышленных товаров);</w:t>
      </w:r>
    </w:p>
    <w:p>
      <w:pPr>
        <w:pStyle w:val="Style13"/>
        <w:keepNext w:val="0"/>
        <w:keepLines w:val="0"/>
        <w:widowControl w:val="0"/>
        <w:numPr>
          <w:ilvl w:val="0"/>
          <w:numId w:val="1"/>
        </w:numPr>
        <w:shd w:val="clear" w:color="auto" w:fill="auto"/>
        <w:tabs>
          <w:tab w:pos="799"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подтверждением соответствия радиоэлектронной продукции первому уровню является наличие в реестровой записи из реестра или евразийского реестра промышленных товаров сведений о первом уровне радиоэлектронной продукции.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силу пункта 3(3) Постановления № 878, для подтверждения соответствия радиоэлектронной продукции требованиям, предусмотренным пунктом 3(2) Постановления № 878, участник закупки указывает (декларирует) в составе заявки на участие в закупке номер реестровой записи из реестра или евразийского реестра промышленных товаров, а для целей подтверждения первого уровня радиоэлектронной продукции - также сведения о первом уровне радиоэлектронной продукции.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Комиссией установлено, что вышеперечисленные требования содержатся в «Требованиях к содержанию, составу заявки на участие в электронном аукционе и инструкции по ее заполнению» извещения о проведении электронного аукциона.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Проанализировав содержание заявок, поданных на участие в электронном аукционе, представленных оператором электронной площадки в адрес Красноярского УФАС России, Комиссия установила следующее:</w:t>
      </w:r>
    </w:p>
    <w:p>
      <w:pPr>
        <w:pStyle w:val="Style13"/>
        <w:keepNext w:val="0"/>
        <w:keepLines w:val="0"/>
        <w:widowControl w:val="0"/>
        <w:numPr>
          <w:ilvl w:val="0"/>
          <w:numId w:val="1"/>
        </w:numPr>
        <w:shd w:val="clear" w:color="auto" w:fill="auto"/>
        <w:tabs>
          <w:tab w:pos="799"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заявках с идентификационными номерами 1, 2, 4, 5, 6, 7, 8 была предложена к поставке радиоэлектронная продукция, страной происхождения которой является Российская Федерация, однако участниками закупки, подавшими такие заявки, не был указан (продекларирован) в составе заявок на участие в закупке номер реестровой записи из реестра российской радиоэлектронной продукции или евразийского реестра промышленных товаров;</w:t>
      </w:r>
    </w:p>
    <w:p>
      <w:pPr>
        <w:pStyle w:val="Style13"/>
        <w:keepNext w:val="0"/>
        <w:keepLines w:val="0"/>
        <w:widowControl w:val="0"/>
        <w:numPr>
          <w:ilvl w:val="0"/>
          <w:numId w:val="1"/>
        </w:numPr>
        <w:shd w:val="clear" w:color="auto" w:fill="auto"/>
        <w:tabs>
          <w:tab w:pos="799"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заявке с идентификационным номером 3 была предложена к поставке радиоэлектронная продукция, страной происхождения которой является Российская Федерация, со ссылкой на номер реестровой записи из реестра российской радиоэлектронной продукции: 2890\3\2023, а также представлены сведения о первом уровне предложенной радиоэлектронной продукции;</w:t>
      </w:r>
    </w:p>
    <w:p>
      <w:pPr>
        <w:pStyle w:val="Style13"/>
        <w:keepNext w:val="0"/>
        <w:keepLines w:val="0"/>
        <w:widowControl w:val="0"/>
        <w:numPr>
          <w:ilvl w:val="0"/>
          <w:numId w:val="1"/>
        </w:numPr>
        <w:shd w:val="clear" w:color="auto" w:fill="auto"/>
        <w:tabs>
          <w:tab w:pos="799"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заявке с идентификационным номером 9 была предложена к поставке радиоэлектронная продукция, страной происхождения которой является Российская Федерация, со ссылкой на номер реестровой записи из реестра российской радиоэлектронной продукции: 2455\31\2023, а также представлены сведения о первом уровне предложенной радиоэлектронной продукции.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Таким образом, при проведении электронного аукциона сложились условия для применения пункта 3 Постановления № 878, позволяющие отклонить все заявки, содержащие предложения о поставке радиоэлектронной продукции, происходящих из иностранных государств (за исключением государств - членов Евразийского экономического союза).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 основании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13"/>
        <w:keepNext w:val="0"/>
        <w:keepLines w:val="0"/>
        <w:widowControl w:val="0"/>
        <w:numPr>
          <w:ilvl w:val="0"/>
          <w:numId w:val="3"/>
        </w:numPr>
        <w:shd w:val="clear" w:color="auto" w:fill="auto"/>
        <w:tabs>
          <w:tab w:pos="883"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члены комиссии по осуществлению закупок:</w:t>
      </w:r>
    </w:p>
    <w:p>
      <w:pPr>
        <w:pStyle w:val="Style13"/>
        <w:keepNext w:val="0"/>
        <w:keepLines w:val="0"/>
        <w:widowControl w:val="0"/>
        <w:numPr>
          <w:ilvl w:val="0"/>
          <w:numId w:val="5"/>
        </w:numPr>
        <w:shd w:val="clear" w:color="auto" w:fill="auto"/>
        <w:tabs>
          <w:tab w:pos="884"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pPr>
        <w:pStyle w:val="Style13"/>
        <w:keepNext w:val="0"/>
        <w:keepLines w:val="0"/>
        <w:widowControl w:val="0"/>
        <w:numPr>
          <w:ilvl w:val="0"/>
          <w:numId w:val="5"/>
        </w:numPr>
        <w:shd w:val="clear" w:color="auto" w:fill="auto"/>
        <w:tabs>
          <w:tab w:pos="898"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w:t>
      </w:r>
      <w:r>
        <w:rPr>
          <w:color w:val="000000"/>
          <w:spacing w:val="0"/>
          <w:w w:val="100"/>
          <w:position w:val="0"/>
          <w:sz w:val="24"/>
          <w:szCs w:val="24"/>
          <w:shd w:val="clear" w:color="auto" w:fill="auto"/>
          <w:lang w:val="ru-RU" w:eastAsia="ru-RU" w:bidi="ru-RU"/>
        </w:rPr>
        <w:t>предложения участника закупки, подавшего такую заявку (за исключением случая, предусмотренного пунктом 9 части 3 статьи 49 Закона о контрактной системе,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статьи 49 Закона о контрактной системе,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Закона о контрактной системе. Заявке на участие в закупке победителя определения поставщика (подрядчика, исполнителя) присваивается первый номер;</w:t>
      </w:r>
    </w:p>
    <w:p>
      <w:pPr>
        <w:pStyle w:val="Style13"/>
        <w:keepNext w:val="0"/>
        <w:keepLines w:val="0"/>
        <w:widowControl w:val="0"/>
        <w:numPr>
          <w:ilvl w:val="0"/>
          <w:numId w:val="3"/>
        </w:numPr>
        <w:shd w:val="clear" w:color="auto" w:fill="auto"/>
        <w:tabs>
          <w:tab w:pos="898" w:val="left"/>
        </w:tabs>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Закона о контрактной системе.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3"/>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Проанализировав совокупность положений извещения о проведении электронного аукциона, содержания заявок, поданных на участие в электронном аукционе, протокола подведения итогов определения поставщика (подрядчика, исполнителя) от 01.12.2023 №ИЭА1, Комиссия пришла к выводу о том, что при рассмотрении заявок на участие в электронном аукционе аукционная комиссия правомерно применила ограничения допуска радиоэлектронной продукции, происходящей из иностранных государств, утвержденные Постановлением № 878.</w:t>
      </w:r>
    </w:p>
    <w:p>
      <w:pPr>
        <w:pStyle w:val="Style13"/>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В силу части 5 статьи 24 Закона о контрактной системе победителем аукциона признается участник закупки, заявка на участие в закупке которого соответствует требованиям, установленным в извещении об осуществлении закупки, и который предложил по результатам проведения процедуры подачи предложений о цене контракта или о сумме цен единиц товара, работы, услуги (в случае, предусмотренном частью 24 статьи 22 Закона о контрактной системе) наиболее низкую цену контракта, наименьшую сумму цен таких единиц либо в случае, предусмотренном пунктом 9 части 3 статьи 49 Закона о контрактной системе, - наиболее высокий размер платы, подлежащей внесению участником закупки за заключение контракта.</w:t>
      </w:r>
    </w:p>
    <w:p>
      <w:pPr>
        <w:pStyle w:val="Style13"/>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При этом, поскольку заявка с идентификационным номером 3 на участие в закупке соответствовала требованиям, установленным в извещении об осуществлении закупки, в том числе, содержала надлежащим образом продекларированное предложение о поставке российской радиоэлектронной продукции первого уровня, а участник, подавший такую заявку, предложил по результатам проведения процедуры подачи предложений о цене контракта наиболее низкую цену контракта, то его заявке на участие в закупке правомерно аукционной комиссией был присвоен первый номер.</w:t>
      </w:r>
    </w:p>
    <w:p>
      <w:pPr>
        <w:pStyle w:val="Style13"/>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Таким образом, доводы подателя жалобы об обратном не находят своего подтверждения при рассмотрении жалобы по существу.</w:t>
      </w:r>
    </w:p>
    <w:p>
      <w:pPr>
        <w:pStyle w:val="Style13"/>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На основании вышеизложенных обстоятельств, в результате рассмотрения жалобы по существу и проведения внеплановой проверки, руководствуясь частью 8 статьи 106 Закона о контрактной системе Комиссия Красноярского УФАС России решила признать жалобу ООО «Умные устройства» необоснованной.</w:t>
      </w:r>
    </w:p>
    <w:p>
      <w:pPr>
        <w:pStyle w:val="Style13"/>
        <w:keepNext w:val="0"/>
        <w:keepLines w:val="0"/>
        <w:widowControl w:val="0"/>
        <w:shd w:val="clear" w:color="auto" w:fill="auto"/>
        <w:bidi w:val="0"/>
        <w:spacing w:before="0" w:after="240" w:line="240" w:lineRule="auto"/>
        <w:ind w:left="0" w:right="0" w:firstLine="620"/>
        <w:jc w:val="both"/>
      </w:pPr>
      <w:r>
        <w:rPr>
          <w:color w:val="000000"/>
          <w:spacing w:val="0"/>
          <w:w w:val="100"/>
          <w:position w:val="0"/>
          <w:sz w:val="24"/>
          <w:szCs w:val="24"/>
          <w:shd w:val="clear" w:color="auto" w:fill="auto"/>
          <w:lang w:val="ru-RU" w:eastAsia="ru-RU" w:bidi="ru-RU"/>
        </w:rPr>
        <w:t>Настоящее решение может быть обжаловано в арбитражный суд Красноярского края в течение трех месяцев со дня его принятия.</w:t>
      </w:r>
    </w:p>
    <w:p>
      <w:pPr>
        <w:pStyle w:val="Style13"/>
        <w:keepNext w:val="0"/>
        <w:keepLines w:val="0"/>
        <w:widowControl w:val="0"/>
        <w:shd w:val="clear" w:color="auto" w:fill="auto"/>
        <w:tabs>
          <w:tab w:pos="8654" w:val="left"/>
        </w:tabs>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Председатель Комиссии</w:t>
        <w:tab/>
        <w:t>М.А. Дударева</w:t>
      </w:r>
    </w:p>
    <w:p>
      <w:pPr>
        <w:pStyle w:val="Style13"/>
        <w:keepNext w:val="0"/>
        <w:keepLines w:val="0"/>
        <w:widowControl w:val="0"/>
        <w:shd w:val="clear" w:color="auto" w:fill="auto"/>
        <w:tabs>
          <w:tab w:pos="8908" w:val="left"/>
        </w:tabs>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Члены Комиссии</w:t>
        <w:tab/>
        <w:t>М.А. Грицай</w:t>
      </w:r>
    </w:p>
    <w:p>
      <w:pPr>
        <w:pStyle w:val="Style13"/>
        <w:keepNext w:val="0"/>
        <w:keepLines w:val="0"/>
        <w:widowControl w:val="0"/>
        <w:shd w:val="clear" w:color="auto" w:fill="auto"/>
        <w:bidi w:val="0"/>
        <w:spacing w:before="0" w:after="400" w:line="240" w:lineRule="auto"/>
        <w:ind w:left="0" w:right="0" w:firstLine="0"/>
        <w:jc w:val="right"/>
      </w:pPr>
      <w:r>
        <w:rPr>
          <w:color w:val="000000"/>
          <w:spacing w:val="0"/>
          <w:w w:val="100"/>
          <w:position w:val="0"/>
          <w:sz w:val="24"/>
          <w:szCs w:val="24"/>
          <w:shd w:val="clear" w:color="auto" w:fill="auto"/>
          <w:lang w:val="ru-RU" w:eastAsia="ru-RU" w:bidi="ru-RU"/>
        </w:rPr>
        <w:t>Е.М. Хоменко</w:t>
      </w:r>
    </w:p>
    <w:p>
      <w:pPr>
        <w:pStyle w:val="Style13"/>
        <w:keepNext w:val="0"/>
        <w:keepLines w:val="0"/>
        <w:widowControl w:val="0"/>
        <w:shd w:val="clear" w:color="auto" w:fill="auto"/>
        <w:bidi w:val="0"/>
        <w:spacing w:before="0" w:after="240" w:line="262" w:lineRule="auto"/>
        <w:ind w:left="0" w:right="0" w:firstLine="0"/>
        <w:jc w:val="both"/>
        <w:rPr>
          <w:sz w:val="22"/>
          <w:szCs w:val="22"/>
        </w:rPr>
      </w:pPr>
      <w:r>
        <w:rPr>
          <w:color w:val="000000"/>
          <w:spacing w:val="0"/>
          <w:w w:val="100"/>
          <w:position w:val="0"/>
          <w:sz w:val="22"/>
          <w:szCs w:val="22"/>
          <w:shd w:val="clear" w:color="auto" w:fill="auto"/>
          <w:lang w:val="ru-RU" w:eastAsia="ru-RU" w:bidi="ru-RU"/>
        </w:rPr>
        <w:t>Исп.Хоменко Е.М.тел.8(391)2110144</w:t>
      </w:r>
    </w:p>
    <w:sectPr>
      <w:footerReference w:type="default" r:id="rId11"/>
      <w:footnotePr>
        <w:pos w:val="pageBottom"/>
        <w:numFmt w:val="decimal"/>
        <w:numRestart w:val="continuous"/>
      </w:footnotePr>
      <w:pgSz w:w="11900" w:h="16840"/>
      <w:pgMar w:top="1082" w:right="509" w:bottom="1148" w:left="1090" w:header="654"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704215" cy="100330"/>
              <wp:wrapNone/>
              <wp:docPr id="3" name="Shape 3"/>
              <a:graphic xmlns:a="http://schemas.openxmlformats.org/drawingml/2006/main">
                <a:graphicData uri="http://schemas.microsoft.com/office/word/2010/wordprocessingShape">
                  <wps:wsp>
                    <wps:cNvSpPr txBox="1"/>
                    <wps:spPr>
                      <a:xfrm>
                        <a:ext cx="70421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2023-22111</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pt;margin-top:776.20000000000005pt;width:55.450000000000003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2023-22111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728980</wp:posOffset>
              </wp:positionH>
              <wp:positionV relativeFrom="page">
                <wp:posOffset>10027920</wp:posOffset>
              </wp:positionV>
              <wp:extent cx="704215" cy="100330"/>
              <wp:wrapNone/>
              <wp:docPr id="5" name="Shape 5"/>
              <a:graphic xmlns:a="http://schemas.openxmlformats.org/drawingml/2006/main">
                <a:graphicData uri="http://schemas.microsoft.com/office/word/2010/wordprocessingShape">
                  <wps:wsp>
                    <wps:cNvSpPr txBox="1"/>
                    <wps:spPr>
                      <a:xfrm>
                        <a:ext cx="70421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2023-22111</w:t>
                          </w:r>
                        </w:p>
                      </w:txbxContent>
                    </wps:txbx>
                    <wps:bodyPr wrap="none" lIns="0" tIns="0" rIns="0" bIns="0">
                      <a:spAutoFit/>
                    </wps:bodyPr>
                  </wps:wsp>
                </a:graphicData>
              </a:graphic>
            </wp:anchor>
          </w:drawing>
        </mc:Choice>
        <mc:Fallback>
          <w:pict>
            <v:shape id="_x0000_s1031" type="#_x0000_t202" style="position:absolute;margin-left:57.399999999999999pt;margin-top:789.60000000000002pt;width:55.450000000000003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2023-22111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color w:val="4360A3"/>
      <w:sz w:val="16"/>
      <w:szCs w:val="16"/>
      <w:u w:val="none"/>
    </w:rPr>
  </w:style>
  <w:style w:type="character" w:customStyle="1" w:styleId="CharStyle9">
    <w:name w:val="Основной текст (3)_"/>
    <w:basedOn w:val="DefaultParagraphFont"/>
    <w:link w:val="Style8"/>
    <w:rPr>
      <w:rFonts w:ascii="Times New Roman" w:eastAsia="Times New Roman" w:hAnsi="Times New Roman" w:cs="Times New Roman"/>
      <w:b/>
      <w:bCs/>
      <w:i w:val="0"/>
      <w:iCs w:val="0"/>
      <w:smallCaps w:val="0"/>
      <w:strike w:val="0"/>
      <w:color w:val="4360A3"/>
      <w:sz w:val="19"/>
      <w:szCs w:val="19"/>
      <w:u w:val="none"/>
    </w:rPr>
  </w:style>
  <w:style w:type="character" w:customStyle="1" w:styleId="CharStyle12">
    <w:name w:val="Подпись к картинке_"/>
    <w:basedOn w:val="DefaultParagraphFont"/>
    <w:link w:val="Style11"/>
    <w:rPr>
      <w:rFonts w:ascii="Times New Roman" w:eastAsia="Times New Roman" w:hAnsi="Times New Roman" w:cs="Times New Roman"/>
      <w:b w:val="0"/>
      <w:bCs w:val="0"/>
      <w:i w:val="0"/>
      <w:iCs w:val="0"/>
      <w:smallCaps w:val="0"/>
      <w:strike w:val="0"/>
      <w:color w:val="4360A3"/>
      <w:sz w:val="18"/>
      <w:szCs w:val="18"/>
      <w:u w:val="non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42"/>
      <w:szCs w:val="4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2)"/>
    <w:basedOn w:val="Normal"/>
    <w:link w:val="CharStyle6"/>
    <w:pPr>
      <w:widowControl w:val="0"/>
      <w:shd w:val="clear" w:color="auto" w:fill="auto"/>
      <w:spacing w:after="440" w:line="281" w:lineRule="auto"/>
      <w:jc w:val="center"/>
    </w:pPr>
    <w:rPr>
      <w:rFonts w:ascii="Times New Roman" w:eastAsia="Times New Roman" w:hAnsi="Times New Roman" w:cs="Times New Roman"/>
      <w:b w:val="0"/>
      <w:bCs w:val="0"/>
      <w:i w:val="0"/>
      <w:iCs w:val="0"/>
      <w:smallCaps w:val="0"/>
      <w:strike w:val="0"/>
      <w:color w:val="4360A3"/>
      <w:sz w:val="16"/>
      <w:szCs w:val="16"/>
      <w:u w:val="none"/>
    </w:rPr>
  </w:style>
  <w:style w:type="paragraph" w:customStyle="1" w:styleId="Style8">
    <w:name w:val="Основной текст (3)"/>
    <w:basedOn w:val="Normal"/>
    <w:link w:val="CharStyle9"/>
    <w:pPr>
      <w:widowControl w:val="0"/>
      <w:shd w:val="clear" w:color="auto" w:fill="auto"/>
      <w:spacing w:after="180"/>
      <w:jc w:val="center"/>
    </w:pPr>
    <w:rPr>
      <w:rFonts w:ascii="Times New Roman" w:eastAsia="Times New Roman" w:hAnsi="Times New Roman" w:cs="Times New Roman"/>
      <w:b/>
      <w:bCs/>
      <w:i w:val="0"/>
      <w:iCs w:val="0"/>
      <w:smallCaps w:val="0"/>
      <w:strike w:val="0"/>
      <w:color w:val="4360A3"/>
      <w:sz w:val="19"/>
      <w:szCs w:val="19"/>
      <w:u w:val="none"/>
    </w:rPr>
  </w:style>
  <w:style w:type="paragraph" w:customStyle="1" w:styleId="Style11">
    <w:name w:val="Подпись к картинке"/>
    <w:basedOn w:val="Normal"/>
    <w:link w:val="CharStyle12"/>
    <w:pPr>
      <w:widowControl w:val="0"/>
      <w:shd w:val="clear" w:color="auto" w:fill="auto"/>
      <w:spacing w:line="264" w:lineRule="auto"/>
    </w:pPr>
    <w:rPr>
      <w:rFonts w:ascii="Times New Roman" w:eastAsia="Times New Roman" w:hAnsi="Times New Roman" w:cs="Times New Roman"/>
      <w:b w:val="0"/>
      <w:bCs w:val="0"/>
      <w:i w:val="0"/>
      <w:iCs w:val="0"/>
      <w:smallCaps w:val="0"/>
      <w:strike w:val="0"/>
      <w:color w:val="4360A3"/>
      <w:sz w:val="18"/>
      <w:szCs w:val="18"/>
      <w:u w:val="none"/>
    </w:rPr>
  </w:style>
  <w:style w:type="paragraph" w:customStyle="1" w:styleId="Style13">
    <w:name w:val="Основной текст"/>
    <w:basedOn w:val="Normal"/>
    <w:link w:val="CharStyle14"/>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5">
    <w:name w:val="Заголовок №1"/>
    <w:basedOn w:val="Normal"/>
    <w:link w:val="CharStyle16"/>
    <w:pPr>
      <w:widowControl w:val="0"/>
      <w:shd w:val="clear" w:color="auto" w:fill="auto"/>
      <w:spacing w:after="320"/>
      <w:outlineLvl w:val="0"/>
    </w:pPr>
    <w:rPr>
      <w:rFonts w:ascii="Arial" w:eastAsia="Arial" w:hAnsi="Arial" w:cs="Arial"/>
      <w:b w:val="0"/>
      <w:bCs w:val="0"/>
      <w:i w:val="0"/>
      <w:iCs w:val="0"/>
      <w:smallCaps w:val="0"/>
      <w:strike w:val="0"/>
      <w:sz w:val="42"/>
      <w:szCs w:val="4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footer" Target="footer3.xml"/></Relationships>
</file>