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5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83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Федеральной антимонопольной службы</w:t>
        <w:br/>
        <w:t>по Калужской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пл. Старый Торг, 5, г. Калуга, 248000</w:t>
        <w:br/>
        <w:t>тел. (4842) 57-65-92, факс (4828) 57-65-92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307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е-тай: 1о40@Га8.§оу.ги</w:t>
      </w:r>
    </w:p>
    <w:p>
      <w:pPr>
        <w:pStyle w:val="Style8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5.12,2023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МЧ/5918/2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3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Кравченко А.В.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Тульская, д.13Б-20, г.Калуга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тГо@до8Гагт.ги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«Сбербанк - АСТ»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пер. Большой Саввинский, д. 12, стр. 9, г. Москва, 119435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ко@8ЪегЪапк-а81.ги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Калужской области «Детская городская больница»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С.-Щедрина, д.11, г.Калуга, 248002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84" w:right="623" w:bottom="1313" w:left="1140" w:header="0" w:footer="3" w:gutter="0"/>
          <w:pgNumType w:start="1"/>
          <w:cols w:num="2" w:space="720" w:equalWidth="0">
            <w:col w:w="4238" w:space="1027"/>
            <w:col w:w="4872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дЪих_де1дог@адт.ка1ида.ги;ддЪ.ро81@уа пдех.ги</w:t>
      </w:r>
    </w:p>
    <w:p>
      <w:pPr>
        <w:widowControl w:val="0"/>
        <w:spacing w:line="70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61" w:right="0" w:bottom="123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Министерство конкурентной политики Калужской области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Плеханова, д. 45, г. Калуга, 248001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12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тт-к-ро1Шк@адт.ка1ида.ги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line="230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Е Н И Е</w:t>
      </w:r>
      <w:bookmarkEnd w:id="2"/>
    </w:p>
    <w:p>
      <w:pPr>
        <w:pStyle w:val="Style21"/>
        <w:keepNext/>
        <w:keepLines/>
        <w:widowControl w:val="0"/>
        <w:shd w:val="clear" w:color="auto" w:fill="auto"/>
        <w:bidi w:val="0"/>
        <w:spacing w:before="0" w:line="240" w:lineRule="auto"/>
        <w:ind w:right="0" w:hanging="30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Комиссии по контролю в сфере закупок товаров, работ, услуг для обеспечения государственных и муниципальных нужд Калужского УФАС России</w:t>
      </w:r>
      <w:bookmarkEnd w:id="4"/>
    </w:p>
    <w:p>
      <w:pPr>
        <w:pStyle w:val="Style15"/>
        <w:keepNext w:val="0"/>
        <w:keepLines w:val="0"/>
        <w:widowControl w:val="0"/>
        <w:shd w:val="clear" w:color="auto" w:fill="auto"/>
        <w:tabs>
          <w:tab w:pos="6964" w:val="left"/>
        </w:tabs>
        <w:bidi w:val="0"/>
        <w:spacing w:before="0" w:after="260" w:line="230" w:lineRule="auto"/>
        <w:ind w:left="0" w:right="0" w:firstLine="58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г. Калуга</w:t>
        <w:tab/>
        <w:t>«15» декабря 2023 года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9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Резолютивная часть решения оглашена 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«12» декабря 2023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года.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9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 полном объеме решение изготовлено 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«15» декабря 2023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года.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60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по контролю в сфере закупок товаров, работ, услуг для обеспечения государственных и муниципальных нужд Калужского УФАС России в составе: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920" w:right="0" w:hanging="19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Чуриков М.А. - председатель комиссии, заместитель руководителя - начальник отдела Калужского УФАС России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Магер А.А. - член комиссии, заместитель руководителя Калужского УФАС России,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920" w:right="0" w:hanging="19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Умнова Ю.П. - член комиссии, главный специалист - эксперт Калужского УФАС России;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8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участии посредством видеоконференцсвязи: представителя заказчика - ГБУЗ</w:t>
      </w:r>
    </w:p>
    <w:p>
      <w:pPr>
        <w:widowControl w:val="0"/>
        <w:spacing w:line="1" w:lineRule="exact"/>
      </w:pPr>
      <w:r>
        <w:drawing>
          <wp:anchor distT="76200" distB="0" distL="0" distR="0" simplePos="0" relativeHeight="125829378" behindDoc="0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76200</wp:posOffset>
            </wp:positionV>
            <wp:extent cx="1517650" cy="292735"/>
            <wp:wrapTopAndBottom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Калужской области «Детская городская больница» Ермаковой К.А. (паспорт, доверенность), представителя уполномоченного органа - Министерства конкурентной политики Калужской области Охотниковой М.А. (доверенность, паспорт), заявителя - ИП Кравченко А.В. (паспорт),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рассмотрев посредством видеоконференцсвязи жалобу № 040/06/105-1128/2023 ИП Кравченко А.В. по существу,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05.12.2023г. в адрес Калужского УФАС России поступила жалоба ИП Кравченко А.В. на положения извещения об осуществлении закупки при проведении запроса котировок в электронной форме (номер извещения на официальном сайте0137200001223005378), предметом которого является поставка системы ультразвуковой визуализации универсальной, с питанием от сети (далее - Запрос котировок).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 полагает, что извещение об осуществлении закупки, не соответствует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Федеральный закон от 05.04.2013 № 44-ФЗ).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Заказчиком, уполномоченным органом представлены пояснения по существу доводов жалобы Заявителя, в которых указанно, что доводы названной жалобы являются необоснованными, а действия Заказчика основаны на положениях Федерального закона от 05.04.2013 № 44-ФЗ.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Изучив представленные документы, с учетом доводов сторон, руководствуясь Федеральным законом от 05.04.2013 №44-ФЗ, проведя внеплановую проверку в соответствии с пунктом 1 части 15 статьи 99 Федерального закона от 05.04.2013 № 44-ФЗ, Комиссия Калужского УФАС России приходит к следующему.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65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29.11.2023г. (с последующими изменениями от 01.12.2023г.) на официальном сайте Единой информационной системы в сфере закупок (</w:t>
      </w:r>
      <w:r>
        <w:fldChar w:fldCharType="begin"/>
      </w:r>
      <w:r>
        <w:rPr/>
        <w:instrText> HYPERLINK "http://www.zakupki.gov.ru/" </w:instrText>
      </w:r>
      <w:r>
        <w:fldChar w:fldCharType="separate"/>
      </w:r>
      <w:r>
        <w:rPr>
          <w:smallCaps/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\у\у\у.</w:t>
      </w:r>
      <w:r>
        <w:rPr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гакирк.доу.ги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; далее также официальный сайт, ЕИС) опубликовано извещение № 0137200001223005378, предметом которого является поставка системы ультразвуковой визуализации универсальной, с питанием от сети.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Начальная (максимальная) цена контракта, согласно извещению о проведении закупки, составляет 5 907 000,00 рублей.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Дата и время окончания срока подачи заявок на участие в запросе котировок: 06.12.2023 08:00.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Заказчиком по указанному запросу котировок в электронной форме выступало ГБУЗ Калужской области «Детская городская больница».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50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доводам жалобы Заявителя, Заказчик не применил Постановление Правительства РФ от 16 ноября 2015г. №1236 "Об установлении запрета на допуск программного обеспечения, происходящего из иностранных государств, для целей осуществления закупок для обеспечения государственных и муниципальных нужд". В данной закупке ПО не является предустановленным.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Вместе с тем, в ходе рассмотрения жалобы по существу, Комиссия Калужского УФАС России установила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Пунктом 2(1) Постановления № 1236 установлено, что для целей применения пункта 2 Постановления № 1236 под программным обеспечением понимают программное обеспечение и (или) права на него вследствие выполнения следующих контрактных обязательств: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60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поставка на материальном носителе и (или) в электронном виде по каналам связи, а также предоставление в аренду или в пользование программного обеспечения посредством использования каналов связи и внешней информационно-технологической и программно</w:t>
        <w:softHyphen/>
        <w:t>аппаратной инфраструктуры, обеспечивающей сбор, обработку и хранение данных (услуги облачных вычислений);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87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поставка, техническое обслуживание персональных электронных вычислительных машин, устройств терминального доступа, серверного оборудования и иных средств вычислительной техники, на которых программное обеспечение подлежит установке в результате исполнения контракта;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72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выполнение работ, оказание услуг, связанных с разработкой, модификацией, модернизацией программного обеспечения, в том числе в составе существующих автоматизированных систем, если такие работы или услуги сопряжены с предоставлением заказчику прав на использование программного обеспечения или расширением ранее предоставленного объема прав;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53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оказание услуг, связанных с сопровождением, технической поддержкой, обновлением программного обеспечения, в том числе в составе существующих автоматизированных систем, если такие услуги сопряжены с предоставлением заказчику прав на использование программного обеспечения или расширением ранее предоставленного объема прав.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Исходя из вышеизложенных положений Постановления № 1236 следует, что под программным обеспечением, в рамках Постановления № 1236, понимается, в том числе поставка программного обеспечения на материальных носителях, а также поставка оборудования, на которое в рамках исполнения контракта, подлежит установка программного обеспечения.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Объектом данной закупки является Система ультразвуковой визуализации, при этом отдельная поставка программного обеспечения либо его установка при исполнении контракта не предусмотрена.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Система ультразвуковой визуализации не относится к персональным ЭВМ, устройствам терминального доступа, серверному оборудованию, иным средствам вычислительной техники.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Возможность УЗИ аппарата проводить исследования обусловлена наличием в нем соответствующих специализированных программ.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Кроме того, пакеты программ являются принадлежностями медицинского изделия и указаны в регистрационном удостоверении, например, № ФСР 2020/12882 от 17.03.2023 года, № РЗН 2021/15972 от 13.12.2021 года, РЗН 2018/7390 от 19.07.2018 года, что позволяет сделать вывод о том, что они являются составной частью Системы ультразвуковой визуализации.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Наличие у УЗИ аппарата специализированных программ обусловлено как программной, так и аппаратной частью. Только при наличии всех составляющих, оборудование будет выполнять требуемую функцию.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Аналогичные выводы отражены в письмах Минфина России от 29.11.2022 №24-06- 06/116710, Минцифры России от 15.12.2022 № П11-2-05-106-94501, Постановлении Арбитражного суда Северо-Кавказского округа от 20.06.2022 № Ф08-4727/2022 по делу № А53-27158/2021.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вышеизложенного, довод жалобы признается необоснованным.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58" w:val="left"/>
        </w:tabs>
        <w:bidi w:val="0"/>
        <w:spacing w:before="0" w:after="28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доводам жалобы Заявителя, в системе ультразвуковой визуализации универсальной с питанием от сети «УЗИ-ЭЛЕКТРОН» российского производителя АО «НИПК «Электрон» отсутствует карандашный датчик.</w:t>
      </w:r>
    </w:p>
    <w:tbl>
      <w:tblPr>
        <w:tblOverlap w:val="never"/>
        <w:jc w:val="center"/>
        <w:tblLayout w:type="fixed"/>
      </w:tblPr>
      <w:tblGrid>
        <w:gridCol w:w="2534"/>
        <w:gridCol w:w="1987"/>
        <w:gridCol w:w="1214"/>
        <w:gridCol w:w="1478"/>
      </w:tblGrid>
      <w:tr>
        <w:trPr>
          <w:trHeight w:val="204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Конфигурация датчика (Доступно только при выборе Датчик дополнительный №1 - Да)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Карандашный с частотой 1,9 - 2 МГц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Участник закупки указывает в заявке конкретное значение характеристи ки</w:t>
            </w:r>
          </w:p>
        </w:tc>
      </w:tr>
    </w:tbl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 считает, что заказчик таким способом ограничивает конкуренцию относительно российского производителя АО «НИПК «Электрон».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ходе рассмотрения жалобы по существу, Комиссия Калужского УФАС России установила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разделе «Документы» (файл: Описание объекта закупки) извещения №0137200001223005378 отсутствуют характеристики, указанные в жалобе заявителя.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вышеизложенного, довод жалобы признается необоснованным.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5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доводам жалобы Заявителя, характеристики, указанные в ТЗ в полном объеме, присутствуют только у одного производителя, в чём усматривается ограничение конкуренции.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Вместе с тем, в ходе рассмотрения жалобы по существу, Комиссия Калужского УФАС России установила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материалы дела от заказчика были представлены коммерческие предложения, использованные при обосновании НМЦК, согласно которым под заявленные заказчиком характеристики подходят аппараты двух производителей: НМ70А-Ки8 производитель «8АМ8Ц№О МЕ^I80^ Со., ИД (Республика Корея)», "РуСкан70П" производитель АО «НПО «СКАНЕР».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Документальных доказательств тому, что описываемые характеристики присутствуют только у одного производителя, в материалы дела заявителем не представлено.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указанный довод жалобы не нашел своего подтверждения и признается необоснованным.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0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доводам жалобы Заявителя, в ЕИС/проекте контракта, не указан срок действия и окончания контракта. Что ограничивает права потенциального поставщика и делает невозможным выпуск банковских гарантий.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Вместе с тем, в ходе рассмотрения жалобы по существу, Комиссия Калужского УФАС России установила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проекте контракта в Разделе 12 «Срок исполнения контракта. Срок действия Контракта, изменение и расторжение Контракта» указаны все необходимые сроки.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 предусмотрено, что срок исполнения контракта: с даты заключения контракта по 31.12.2024. Контракт вступает в силу с момента его подписания обеими Сторонами и действует до 31.12.2024.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вышеизложенного, довод жалобы признается необоснованным.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95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жалобе ИП Кравченко А.В. указывает на необходимость проведения проверки обоснования НМЦК рассматриваемой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связи с тем, что в соответствии со статьей 99 Федерального закона от 05.04.2013 №44- ФЗ контроль в отношении определения и обоснования начальной (максимальной) цены контракта осуществляется органами внутреннего государственного (муниципального) финансового контроля, Калужское УФАС России приходит к выводу о необходимости передачи материалов жалобы предпринимателя в Министерство финансов Калужской области.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9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жалобе ИП Кравченко А.В. указывает на возможное нарушение антимонопольного законодательства при проведении рассматриваемой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вышеизложенного, Комиссия Калужского УФАС России приходит к выводу о необходимости передачи материалов жалобы уполномоченному должностному лицу Калужского УФАС России для рассмотрения вопроса на предмет наличия (отсутствия) нарушения антимонопольного законодательства.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С учетом всех изложенных обстоятельств, установленных в ходе рассмотрения жалобы, руководствуясь пунктом 1 части 15 статьи 99, частью 8 статьи 106 Федерального закона от 05.04.2013 № 44-ФЗ, Комиссия Калужского УФАС России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  <w:r>
        <w:br w:type="page"/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47" w:val="left"/>
        </w:tabs>
        <w:bidi w:val="0"/>
        <w:spacing w:before="0" w:after="26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.Признать жалобу ИП Кравченко А.В.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необоснованной.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77" w:val="left"/>
        </w:tabs>
        <w:bidi w:val="0"/>
        <w:spacing w:before="0" w:after="26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. Передать материалы жалобы ИП Кравченко А.В. в Министерство финансов Калужской области.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72" w:val="left"/>
        </w:tabs>
        <w:bidi w:val="0"/>
        <w:spacing w:before="0" w:after="26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.Передать материалы жалобы ИП Кравченко А.В. уполномоченному должностному лицу Калужского УФАС России для рассмотрения в порядке, предусмотренном Федеральным законом от 26.07.2006 № 135-ФЗ «О защите конкуренции».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9 статьи 106 Федерального закона от 05.04.2013 № 44-ФЗ решение, принятое по результатам рассмотрения жалобы по существу, может быть обжаловано в судебном порядке в течение трех месяцев с даты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61" w:right="584" w:bottom="1235" w:left="1072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" distB="360045" distL="0" distR="0" simplePos="0" relativeHeight="125829379" behindDoc="0" locked="0" layoutInCell="1" allowOverlap="1">
                <wp:simplePos x="0" y="0"/>
                <wp:positionH relativeFrom="page">
                  <wp:posOffset>713105</wp:posOffset>
                </wp:positionH>
                <wp:positionV relativeFrom="paragraph">
                  <wp:posOffset>114300</wp:posOffset>
                </wp:positionV>
                <wp:extent cx="1828800" cy="240665"/>
                <wp:wrapTopAndBottom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6.149999999999999pt;margin-top:9.pt;width:144.pt;height:18.949999999999999pt;z-index:-125829374;mso-wrap-distance-left:0;mso-wrap-distance-top:9.pt;mso-wrap-distance-right:0;mso-wrap-distance-bottom:28.35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81610" distB="0" distL="0" distR="1786255" simplePos="0" relativeHeight="125829381" behindDoc="0" locked="0" layoutInCell="1" allowOverlap="1">
            <wp:simplePos x="0" y="0"/>
            <wp:positionH relativeFrom="page">
              <wp:posOffset>2636520</wp:posOffset>
            </wp:positionH>
            <wp:positionV relativeFrom="paragraph">
              <wp:posOffset>181610</wp:posOffset>
            </wp:positionV>
            <wp:extent cx="353695" cy="536575"/>
            <wp:wrapTopAndBottom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3093720</wp:posOffset>
                </wp:positionH>
                <wp:positionV relativeFrom="paragraph">
                  <wp:posOffset>581025</wp:posOffset>
                </wp:positionV>
                <wp:extent cx="1280160" cy="103505"/>
                <wp:wrapNone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243.59999999999999pt;margin-top:45.75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3051175</wp:posOffset>
                </wp:positionH>
                <wp:positionV relativeFrom="paragraph">
                  <wp:posOffset>269875</wp:posOffset>
                </wp:positionV>
                <wp:extent cx="1722120" cy="255905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40.25pt;margin-top:21.25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58140" distB="137160" distL="0" distR="0" simplePos="0" relativeHeight="125829382" behindDoc="0" locked="0" layoutInCell="1" allowOverlap="1">
                <wp:simplePos x="0" y="0"/>
                <wp:positionH relativeFrom="page">
                  <wp:posOffset>6074410</wp:posOffset>
                </wp:positionH>
                <wp:positionV relativeFrom="paragraph">
                  <wp:posOffset>358140</wp:posOffset>
                </wp:positionV>
                <wp:extent cx="1088390" cy="21971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8839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М.А. Чуриков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478.30000000000001pt;margin-top:28.199999999999999pt;width:85.700000000000003pt;height:17.300000000000001pt;z-index:-125829371;mso-wrap-distance-left:0;mso-wrap-distance-top:28.199999999999999pt;mso-wrap-distance-right:0;mso-wrap-distance-bottom:10.80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М.А. Чуриков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54545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Чуриков Максим Александрович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54545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545454"/>
          <w:spacing w:val="0"/>
          <w:w w:val="100"/>
          <w:position w:val="0"/>
          <w:shd w:val="clear" w:color="auto" w:fill="auto"/>
          <w:lang w:val="ru-RU" w:eastAsia="ru-RU" w:bidi="ru-RU"/>
        </w:rPr>
        <w:t>ЗАО4Е8323С724В46А443О45Е904Е2547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right="0" w:firstLine="0"/>
        <w:jc w:val="left"/>
      </w:pP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54545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>07.1</w:t>
      </w:r>
      <w:r>
        <w:rPr>
          <w:color w:val="8E8E8E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rPr>
          <w:color w:val="54545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.2022 </w:t>
      </w:r>
      <w:r>
        <w:rPr>
          <w:color w:val="8E8E8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>31</w:t>
      </w:r>
      <w:r>
        <w:rPr>
          <w:color w:val="545454"/>
          <w:spacing w:val="0"/>
          <w:w w:val="100"/>
          <w:position w:val="0"/>
          <w:shd w:val="clear" w:color="auto" w:fill="auto"/>
          <w:lang w:val="ru-RU" w:eastAsia="ru-RU" w:bidi="ru-RU"/>
        </w:rPr>
        <w:t>.01</w:t>
      </w: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>.2024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2635885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3093085</wp:posOffset>
                </wp:positionH>
                <wp:positionV relativeFrom="paragraph">
                  <wp:posOffset>462915</wp:posOffset>
                </wp:positionV>
                <wp:extent cx="1286510" cy="103505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651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43.55000000000001pt;margin-top:36.450000000000003pt;width:101.3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3050540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40.20000000000002pt;margin-top:11.950000000000001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Магер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B6B6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Магер Александр Александрович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00С23СВС4С5Е1Е5626ОА1ЕЗВ90В3444В8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6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5" behindDoc="0" locked="0" layoutInCell="1" allowOverlap="1">
                <wp:simplePos x="0" y="0"/>
                <wp:positionH relativeFrom="page">
                  <wp:posOffset>6120130</wp:posOffset>
                </wp:positionH>
                <wp:positionV relativeFrom="paragraph">
                  <wp:posOffset>457200</wp:posOffset>
                </wp:positionV>
                <wp:extent cx="1048385" cy="247015"/>
                <wp:wrapSquare wrapText="left"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48385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Ю.П. Умнова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481.90000000000003pt;margin-top:36.pt;width:82.549999999999997pt;height:19.449999999999999pt;z-index:-125829368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Ю.П. Умнова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24.11.2022 </w:t>
      </w:r>
      <w:r>
        <w:rPr>
          <w:color w:val="8E8E8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17.02.2024</w:t>
      </w:r>
    </w:p>
    <w:p>
      <w:pPr>
        <w:pStyle w:val="Style39"/>
        <w:keepNext w:val="0"/>
        <w:keepLines w:val="0"/>
        <w:widowControl w:val="0"/>
        <w:shd w:val="clear" w:color="auto" w:fill="auto"/>
        <w:bidi w:val="0"/>
        <w:spacing w:before="0" w:after="90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Подлинник электронного документа, подписанного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ЭП,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хранится в системе электронного документооборота ФАС России</w:t>
      </w:r>
    </w:p>
    <w:p>
      <w:pPr>
        <w:pStyle w:val="Style4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B6B6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Умнова Юлия Петровна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72080Е0В4С7ЕС37А91Е6А291СВ52О78А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02.02.2023 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27.04.2024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4" w:right="551" w:bottom="1114" w:left="111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740410</wp:posOffset>
              </wp:positionH>
              <wp:positionV relativeFrom="page">
                <wp:posOffset>9972040</wp:posOffset>
              </wp:positionV>
              <wp:extent cx="648970" cy="10033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2023-6520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8.300000000000004pt;margin-top:785.20000000000005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2023-6520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2023-6520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776.2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2023-6520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4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6"/>
      <w:szCs w:val="16"/>
      <w:u w:val="none"/>
    </w:rPr>
  </w:style>
  <w:style w:type="character" w:customStyle="1" w:styleId="CharStyle9">
    <w:name w:val="Заголовок №1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2">
    <w:name w:val="Основной текст (7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8"/>
      <w:szCs w:val="18"/>
      <w:u w:val="none"/>
    </w:rPr>
  </w:style>
  <w:style w:type="character" w:customStyle="1" w:styleId="CharStyle14">
    <w:name w:val="Основной текст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6">
    <w:name w:val="Основной текст (2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8">
    <w:name w:val="Подпись к картинке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22222"/>
      <w:sz w:val="12"/>
      <w:szCs w:val="12"/>
      <w:u w:val="none"/>
    </w:rPr>
  </w:style>
  <w:style w:type="character" w:customStyle="1" w:styleId="CharStyle22">
    <w:name w:val="Заголовок №2_"/>
    <w:basedOn w:val="DefaultParagraphFont"/>
    <w:link w:val="Style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9">
    <w:name w:val="Другое_"/>
    <w:basedOn w:val="DefaultParagraphFont"/>
    <w:link w:val="Style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32">
    <w:name w:val="Основной текст (3)_"/>
    <w:basedOn w:val="DefaultParagraphFont"/>
    <w:link w:val="Style31"/>
    <w:rPr>
      <w:rFonts w:ascii="Arial" w:eastAsia="Arial" w:hAnsi="Arial" w:cs="Arial"/>
      <w:b w:val="0"/>
      <w:bCs w:val="0"/>
      <w:i w:val="0"/>
      <w:iCs w:val="0"/>
      <w:smallCaps w:val="0"/>
      <w:strike w:val="0"/>
      <w:color w:val="3E3E3E"/>
      <w:sz w:val="12"/>
      <w:szCs w:val="12"/>
      <w:u w:val="none"/>
    </w:rPr>
  </w:style>
  <w:style w:type="character" w:customStyle="1" w:styleId="CharStyle40">
    <w:name w:val="Основной текст (5)_"/>
    <w:basedOn w:val="DefaultParagraphFont"/>
    <w:link w:val="Style3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22222"/>
      <w:sz w:val="12"/>
      <w:szCs w:val="12"/>
      <w:u w:val="none"/>
    </w:rPr>
  </w:style>
  <w:style w:type="character" w:customStyle="1" w:styleId="CharStyle43">
    <w:name w:val="Основной текст (6)_"/>
    <w:basedOn w:val="DefaultParagraphFont"/>
    <w:link w:val="Style4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9E9E9"/>
      <w:sz w:val="12"/>
      <w:szCs w:val="1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4)"/>
    <w:basedOn w:val="Normal"/>
    <w:link w:val="CharStyle6"/>
    <w:pPr>
      <w:widowControl w:val="0"/>
      <w:shd w:val="clear" w:color="auto" w:fill="auto"/>
      <w:spacing w:after="160" w:line="28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6"/>
      <w:szCs w:val="16"/>
      <w:u w:val="none"/>
    </w:rPr>
  </w:style>
  <w:style w:type="paragraph" w:customStyle="1" w:styleId="Style8">
    <w:name w:val="Заголовок №1"/>
    <w:basedOn w:val="Normal"/>
    <w:link w:val="CharStyle9"/>
    <w:pPr>
      <w:widowControl w:val="0"/>
      <w:shd w:val="clear" w:color="auto" w:fill="auto"/>
      <w:spacing w:after="32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1">
    <w:name w:val="Основной текст (7)"/>
    <w:basedOn w:val="Normal"/>
    <w:link w:val="CharStyle12"/>
    <w:pPr>
      <w:widowControl w:val="0"/>
      <w:shd w:val="clear" w:color="auto" w:fill="auto"/>
      <w:spacing w:after="620" w:line="276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8"/>
      <w:szCs w:val="18"/>
      <w:u w:val="none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5">
    <w:name w:val="Основной текст (2)"/>
    <w:basedOn w:val="Normal"/>
    <w:link w:val="CharStyle1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7">
    <w:name w:val="Подпись к картинке"/>
    <w:basedOn w:val="Normal"/>
    <w:link w:val="CharStyle18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22222"/>
      <w:sz w:val="12"/>
      <w:szCs w:val="12"/>
      <w:u w:val="none"/>
    </w:rPr>
  </w:style>
  <w:style w:type="paragraph" w:customStyle="1" w:styleId="Style21">
    <w:name w:val="Заголовок №2"/>
    <w:basedOn w:val="Normal"/>
    <w:link w:val="CharStyle22"/>
    <w:pPr>
      <w:widowControl w:val="0"/>
      <w:shd w:val="clear" w:color="auto" w:fill="auto"/>
      <w:spacing w:after="260"/>
      <w:ind w:left="1040" w:hanging="150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28">
    <w:name w:val="Другое"/>
    <w:basedOn w:val="Normal"/>
    <w:link w:val="CharStyle29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31">
    <w:name w:val="Основной текст (3)"/>
    <w:basedOn w:val="Normal"/>
    <w:link w:val="CharStyle32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E3E3E"/>
      <w:sz w:val="12"/>
      <w:szCs w:val="12"/>
      <w:u w:val="none"/>
    </w:rPr>
  </w:style>
  <w:style w:type="paragraph" w:customStyle="1" w:styleId="Style39">
    <w:name w:val="Основной текст (5)"/>
    <w:basedOn w:val="Normal"/>
    <w:link w:val="CharStyle40"/>
    <w:pPr>
      <w:widowControl w:val="0"/>
      <w:shd w:val="clear" w:color="auto" w:fill="auto"/>
      <w:spacing w:after="100" w:line="218" w:lineRule="auto"/>
      <w:ind w:left="37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22222"/>
      <w:sz w:val="12"/>
      <w:szCs w:val="12"/>
      <w:u w:val="none"/>
    </w:rPr>
  </w:style>
  <w:style w:type="paragraph" w:customStyle="1" w:styleId="Style42">
    <w:name w:val="Основной текст (6)"/>
    <w:basedOn w:val="Normal"/>
    <w:link w:val="CharStyle43"/>
    <w:pPr>
      <w:widowControl w:val="0"/>
      <w:shd w:val="clear" w:color="auto" w:fill="auto"/>
      <w:spacing w:after="10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9E9E9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