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99" w:h="451" w:wrap="none" w:hAnchor="page" w:x="1765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899" w:h="451" w:wrap="none" w:hAnchor="page" w:x="1765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3542" w:h="701" w:wrap="none" w:hAnchor="page" w:x="1453" w:y="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7"/>
        <w:keepNext w:val="0"/>
        <w:keepLines w:val="0"/>
        <w:framePr w:w="4243" w:h="1162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«Экодом»</w:t>
      </w:r>
    </w:p>
    <w:p>
      <w:pPr>
        <w:pStyle w:val="Style7"/>
        <w:keepNext w:val="0"/>
        <w:keepLines w:val="0"/>
        <w:framePr w:w="4243" w:h="1162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Кантемировская, д. 3, корп. 2, комн.6, город Москва, 115304</w:t>
      </w:r>
    </w:p>
    <w:p>
      <w:pPr>
        <w:pStyle w:val="Style7"/>
        <w:keepNext w:val="0"/>
        <w:keepLines w:val="0"/>
        <w:framePr w:w="4243" w:h="1162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екодот97@таП.ш</w:t>
      </w:r>
    </w:p>
    <w:p>
      <w:pPr>
        <w:pStyle w:val="Style2"/>
        <w:keepNext w:val="0"/>
        <w:keepLines w:val="0"/>
        <w:framePr w:w="2976" w:h="653" w:wrap="none" w:hAnchor="page" w:x="1726" w:y="171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1о24@Й8.§оу.ги</w:t>
      </w:r>
    </w:p>
    <w:p>
      <w:pPr>
        <w:pStyle w:val="Style7"/>
        <w:keepNext w:val="0"/>
        <w:keepLines w:val="0"/>
        <w:framePr w:w="4666" w:h="1162" w:wrap="none" w:hAnchor="page" w:x="6406" w:y="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МКУ «Управление муниципальных закупок» Ленинский проспект, д. 1, г. Норильск, Красноярский край, 663310</w:t>
      </w:r>
    </w:p>
    <w:p>
      <w:pPr>
        <w:pStyle w:val="Style7"/>
        <w:keepNext w:val="0"/>
        <w:keepLines w:val="0"/>
        <w:framePr w:w="4666" w:h="1162" w:wrap="none" w:hAnchor="page" w:x="6406" w:y="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итх@погП зк-ску.ш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72" w:right="541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114300</wp:posOffset>
                </wp:positionV>
                <wp:extent cx="307975" cy="1524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pt;margin-top:9.pt;width:24.25pt;height:1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д.23-А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ко@г18-1епдег.ги; тГо@118-1епдег.ш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024/06/106-3600/2023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6292215</wp:posOffset>
                </wp:positionH>
                <wp:positionV relativeFrom="paragraph">
                  <wp:posOffset>25400</wp:posOffset>
                </wp:positionV>
                <wp:extent cx="905510" cy="21018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5.44999999999999pt;margin-top:2.pt;width:71.299999999999997pt;height:16.5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13 декабря 2023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Врио руководителя управления — начальник аналитического отдела М.А. Дударева, члены Комиссии - начальник отдела М.А. Грицай, старший государственный инспектор М.А. Косенко (далее - Комиссия), рассмотрев жалобу ООО «Экодом» (далее - податель жалобы) на действия заказчиков, уполномоченного органа - МКУ «Управление муниципальных закупок» (далее — уполномоченный орган) при определении поставщика (подрядчика, исполнителя) путем проведения аукциона в электронной форме «Оказание услуг по содержанию территорий в осенне</w:t>
        <w:softHyphen/>
        <w:t>зимний период 2024 года в районе Кайеркан города Норильска», размещенного на электронной площадке ООО «РТС-тендер» (далее - оператор электронной площадки),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Красноярского УФАС России поступила жалоба ООО «Экодом» на действия заказчиков, уполномоченного органа при определении поставщика (подрядчика, исполнителя) путем проведения электронного аукциона в электронной форме «Оказание услуг по содержанию территорий в осенне-зимний период 2024 года в районе Кайеркан города Норильска», номер извещения № 0319300010123000830.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составление извещения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поступила в адрес Красноярского УФАС России в срок, установленный частью 2 статьи 105 Закона о контрактной системе, соответствовала требованиям части 4 статьи 105 указанного закона, в связи с чем была принята к рассмотрению по существу.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адреса подателя жалобы, заказчика,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 начала рассмотрения жалобы по существу заказчиками и уполномоченным органом были направлены ходатайства о рассмотрении жалобы в отсутствие их представителей.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рассмотрении жалобы по существу, состоявшемся 13 декабря в 17 часов 00 минут податель жалобы не обеспечил явку своего представителя, ходатайств не направлял.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11111III1111II1111111111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содержания жалобы следует, что заказчиком нарушены положения статьи 42 Закона о контрактной системе, поскольку в извещении неправомерно установлены дополнительные требования в соответствии с позицией 9 приложения к Постановлению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Правительства №2571).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потребностью, заказчиком были совершены действия по определению поставщика (подрядчика, исполнителя) путем проведения электронного аукциона на оказание услуг по содержанию территорий в осенне-зимний период 2024 года в районе Кайеркан города Норильска.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1, 2 части 1 статьи 1).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установлено в пункте 12 части 1 статьи 42 Закона о контрактной системе извещение о проведении закупки должно содержать требования, предъявляемые к участникам закупки, в том числе в соответствии с частью 2 статьи 31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целью реализации требований, установленных, в том числе частью 2 статьи 31 Закона о контрактной системе, Правительством РФ было издано Постановление от 29.12.2021 № 2571, из системного толкования положений которого (в том числе, учитывая содержание Позиции 9 раздела II приложения к Постановлению № 2571) следует, что для участия в закупке на выполнение работ по строительству некапитального строения, сооружения (строений, сооружений), благоустройству территории, участнику закупки необходим: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(в том числе линейного объекта);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(в том числе линейного объекта).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 При этом в соответствии с подпунктом «а» пункта 3 Постановления № 2571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подпункту «б» пункта 3 Постановления № 2571 договором, предусмотренным пунктами 1 и 2 позиции 15 приложения в графе «Дополнительные требования к участникам закупки», считается контракт, заключенный и исполненный в соответствии с Законом о контрактной системе, либо договор, заключенный и исполненный в соответствии с Федеральным законом «О закупках товаров, работ, услуг отдельными видами юридических лиц».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разделу 3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(далее — закон №257) автомобильная дорога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пункту 6.1 Приказа Минстроя России от 29.12.2021 № 1042/пр «Об утверждении методических рекомендаций по разработке норм и правил по благоустройству территорий муниципальных образований» в состав раздела правил благоустройства муниципального образования, регулирующего вопросы содержания и порядка пользования общественными территориями муниципального образования, рекомендуется включать положения об организации комплекса мероприятий, проводимых с целью сохранности эксплуатационных свойств и поддержания в чистом и эстетически привлекательном состоянии внешних поверхностей элементов благоустройства и объектов благоустройства, сбором и вывозом в специально отведенные места отходов производства и потребления, других отходов,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снега,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уличного смета, остатков растительности и листвы (далее - уборка территории), и иных мероприятий, направленных на обеспечение экологического и санитарно-эпидемиологического благополучия населения и охрану окружающей среды в муниципальном образовании, положения о содержании и контроле за эксплуатацией элементов благоустройства, учитывающие климатические, сезонные и погодные особенности, характерные для населенных пунктов муниципального образования (далее — рекомендации).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разделу 17.1 рекомендаций в правила благоустройства территории муниципального образования рекомендуется включать положения, регулирующие вопросы уборки и содержания, в том числе в зимний период, общественных и дворовых территорий и иных объектов и элементов благоустройства, расположенных на территории муниципального образования.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разделу 17.14 рекомендаций в осенне-зимний период к мероприятиям по уборке объектов благоустройства рекомендуется относить в том числе уборку и вывоз мусора, грязи, очистку территорий возле водосточных труб, подметание и сгребание снега, сдвигание снега в кучи и валы, перемещение снега, зачистку снежных уплотнений и накатов, противогололедную обработку территорий противогололедными материалами, подметание территорий при отсутствии снегопадов и гололедицы, очистку от снега МАФ и иных элементов благоустройства.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Проанализировав положения извещения, Комиссия установила что в ходе исполнения контракта победителю аукциона необходимо будет выполнить следующие работы: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очистка территории от снега;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уборка снега, сформированного в валы и кучи с помощью погрузочного оборудования;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посыпка территории противогололедными материалами и реагентами;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вышеперечисленного следует, что работы, являющиеся предметом контракта, относятся к работам по благоустройству территории. Доказательств обратного подателем жалобы представлено не было.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Учитывая, объект закупки, НМЦК в рамках рассматриваемой закупки (13 100 762,45 рублей), Комиссия приходит к выводу, что в рассматриваемом случае заказчиком правомерно установлено требование к участникам закупки в соответствии с Позицией 9 раздела II приложения к Постановлению № 2571.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признает довод подателя жалобы необоснованным.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частями 3,15 статьи 99, частью 8 статьи 106 Закона о контрактной системе, Комиссия Красноярского УФАС России приняла решение признать жалобу ООО «Экодом»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698500</wp:posOffset>
                </wp:positionH>
                <wp:positionV relativeFrom="paragraph">
                  <wp:posOffset>12700</wp:posOffset>
                </wp:positionV>
                <wp:extent cx="1600200" cy="56388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0200" cy="563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pt;margin-top:1.pt;width:126.pt;height:44.3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Дударева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Грицай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Косенко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Исп.Косенко М.А. тел.(391)2110144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76" w:right="537" w:bottom="1202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9993630</wp:posOffset>
              </wp:positionV>
              <wp:extent cx="7162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2023-22063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050000000000004pt;margin-top:786.89999999999998pt;width:56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2023-22063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2023-22063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2023-22063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Приказ Минстроя России от 29.12.2021 N 1042/пр"Об утверждении методических рекомендаций по разработке норм и правил по благоустройству территорий муниципальных образований"</dc:title>
  <dc:subject/>
  <dc:creator/>
  <cp:keywords/>
</cp:coreProperties>
</file>