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1777365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92480" distL="114300" distR="132715" simplePos="0" relativeHeight="125829379" behindDoc="0" locked="0" layoutInCell="1" allowOverlap="1">
                <wp:simplePos x="0" y="0"/>
                <wp:positionH relativeFrom="page">
                  <wp:posOffset>725805</wp:posOffset>
                </wp:positionH>
                <wp:positionV relativeFrom="paragraph">
                  <wp:posOffset>728980</wp:posOffset>
                </wp:positionV>
                <wp:extent cx="2578735" cy="17526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Мира, 81 д, г. Красноярск, 660017</w:t>
                              <w:br/>
                              <w:t>тел. (391) 211-00-00, факс (391) 211-01-14</w:t>
                              <w:br/>
                              <w:t>е-таП: 1о24й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bscript"/>
                                <w:lang w:val="ru-RU" w:eastAsia="ru-RU" w:bidi="ru-RU"/>
                              </w:rPr>
                              <w:t>;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Таа.ао\'.ги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149999999999999pt;margin-top:57.399999999999999pt;width:203.05000000000001pt;height:138.pt;z-index:-125829374;mso-wrap-distance-left:9.pt;mso-wrap-distance-top:56.39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Мира, 81 д, г. Красноярск, 660017</w:t>
                        <w:br/>
                        <w:t>тел. (391) 211-00-00, факс (391) 211-01-14</w:t>
                        <w:br/>
                        <w:t>е-таП: 1о24й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vertAlign w:val="subscript"/>
                          <w:lang w:val="ru-RU" w:eastAsia="ru-RU" w:bidi="ru-RU"/>
                        </w:rPr>
                        <w:t>;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Таа.ао\'.ги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728980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725805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149999999999999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ТД «Прометей-2000»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Алексеева, д. 24, кв. 161, г. Красноярск, Красноярский край, 660098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880" w:right="0" w:firstLine="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2000-рготе1еу@таП.ш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ФГБУ «Федеральный центр сердечно</w:t>
        <w:softHyphen/>
        <w:t>сосудистой хирургии» Министерства здравоохранения Российской Федерации ул. Караульная, д. 45, г. Красноярск, Красноярский край, 660020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Гс88Ь.1о^@уапдех.ги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 АСТ»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Большой Саввинский переулок, д. 12, стр. 9, 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Москва, 119435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тГо@8ЬегЬапк-а81.ги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024/06/106-3557/2023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6303645</wp:posOffset>
                </wp:positionH>
                <wp:positionV relativeFrom="paragraph">
                  <wp:posOffset>12700</wp:posOffset>
                </wp:positionV>
                <wp:extent cx="905510" cy="21336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96.35000000000002pt;margin-top:1.pt;width:71.299999999999997pt;height:16.8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 декабря 2023 год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заместитель руководителя - начальник аналитического отдела М.А. Дударева, члены Комиссии - старший государственный инспектор М.А. Косенко, специалист-эксперт И.М. Болотова (далее - Комиссия), рассмотрев жалобу общества с ограниченной ответственностью ООО ТД «Прометей-2000» (далее - податель жалобы) на действия аукционной комиссии заказчика - Федерального государственного бюджетного учреждения «Федеральный центр сердечно-сосудистой хирургии» здравоохранения РФ при определении поставщика (подрядчика, исполнителя) путем проведения открытого аукциона в электронной форме на поставку хозяйственных товаров (далее - электронный аукцион), на электронной торговой площадке АО «Сбербанк-АСТ» (далее - оператор электронной площадки), номер извещения №0319100000223000882 установила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Красноярского УФАС России поступила жалоба на действия субъекта контроля при проведении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нарушение аукционной комиссией заказчика требований законодательства о контрактной системе при рассмотрении заявок участников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поступила в адрес Красноярского УФАС России в срок, установленный частью 2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соответствовала требованиям части 4 статьи 105 указанного закона, в связи с чем подлежала принятию к рассмотрению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заказчика, аукционной комиссии, подателя жалобы, оператора электронной площадки были направлены уведомления о содержании жалобы с информацией о месте и времени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>||||||||||||||||||||||||</w:t>
      </w:r>
      <w:bookmarkEnd w:id="0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 xml:space="preserve"> </w:t>
      </w:r>
      <w:r>
        <w:rPr>
          <w:rStyle w:val="CharStyle11"/>
        </w:rPr>
        <w:t>рассмотрения жалобы.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рассмотрении жалобы по существу заказчик и податель жалобы обеспечили явку своих представителей, личности представителей удостоверены, полномочия подтверждены.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Рассмотрение жалобы осуществлялось единовременно с ООО «Ресурс-К», которое также подало жалобу на действия аукционной комиссии в рамках рассматриваемой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доводов жалобы следует, что аукционная комиссия неправомерно отклонила заявку подателя жалобы, а также, что заказчиком в извещении о проведении электронного аукциона неправомерно установлено требование о предоставлении участником закупки копии свидетельств о государственной регистрации товара, предлагаемого к поставке.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информационно-телекоммуникационной сети Интернет (далее -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возникшей потребностью заказчиком были совершены действия по определению поставщика (подрядчика, исполнителя) путем проведения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Объектом закупки является поставка хозяйственных товаров.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установлено в пункте 3 части 2 статьи 42 Закона о контрактной системе извещение о проведении закупки должно содержать требования к содержанию, составу заявки на участие в закупке.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Заявка на участие в закупке должна содержать информацию и документы, предусмотренные подпунктами «м» - «п» пункта 1, подпунктами «а» - «в» пункта 2, пунктом 5 части 1 статьи 43 Закона о контрактной системе. Заявка также может содержать информацию и документы, предусмотренные подпунктом «д» пункта 2 части 1 статьи 43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подпункта «а»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указанной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12 статьи 48 Закона о контрактной системе при рассмотрении заявок на участие в закупке соответствующая заявка подлежит отклонению, в том числе в случае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электронного аукциона заявка подателя жалобы отклонена аукционной комиссией заказчика в связи с непредставлением информации и документов, предусмотренных извещением.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967" w:right="542" w:bottom="1264" w:left="110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Основанием для отклонения заявки заявителя послужило непредставление документов,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предусмотренных подпунктом «в» пункта 2 части 1 статьи 43 Закона о контрактной системе, а именно: участником закупки в составе заявки в структурированном описании объекта закупки предложен к поставке клей полимерный. Вид полимера, используемого в качестве основы клея- силакриловый, и не представлена копия свидетельства о государственной регистрации на заявленный к поставке товар. В составе заявки представлено только копия свидетельства о государственной регистрации на клей полимерный, вид полимера, используемого в качестве основы клея- силиконовый.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анализа извещения о проведении закупки Комиссия Красноярского УФАС России установила, что пункт 2.3. Требования к содержанию, составу заявки на участие в аукционе содержит требование о предоставлении участником закупки в составе заявки документов, подтверждающих соответствие товара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закупки), а именно копии свидетельства о государственной регистрации.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43 Федерального закона от 30.03.1999 № 52-ФЗ «О санитарно - эпидемиологическом благополучии населения» (далее - Закон о санитарно - эпидемиологическом благополучии населения) государственной регистрации подлежат: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впервые внедряемые в производство и ранее не использовавшиеся химические, биологические вещества и изготовляемые на их основе препараты (далее - вещества), потенциально опасные для человека;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8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отдельные виды продукции, представляющие потенциальную опасность для человека;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отдельные виды продукции, в том числе пищевые продукты, впервые ввозимые на территорию Российской Федерации.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положениям Закона о санитарно - эпидемиологическом благополучии населения государственная регистрация веществ и отдельных видов продукции является мерой государственного регулирования в области санитарно-эпидемиологического благополучия населения и направлена, прежде всего, на предотвращение вредного воздействия факторов среды обитания на человека и обеспечение благоприятных условий жизнедеятельности человека.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11 Перечня продукции (товаров), подлежащей государственной регистрации, раздела II Единого перечня продукции (товаров), подлежащей государственному санитарно - эпидемиологическому надзору (контролю) на таможенной границе и таможенной территории Евразийского экономического союза, утвержденной Решением Комиссии Таможенного союза от 28.05.2010 № 299 (далее - Решение Комиссии № 299), государственной регистрации подлежат потенциально опасные химические вещества и изготавливаемые на их основе препараты, представляющие потенциальную опасность для человека, включенные в следующие позиции ТН ВЭД ЕАЭС, впервые изготавливаемые на таможенной территории Евразийского экономического союза, а также впервые ввозимые на таможенную территорию Евразийского экономического союза: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3209 Краски и лаки (включая эмали и политуры) на основе синтетических полимеров или химически модифицированных природных полимеров, диспергированные или растворенные в водной среде;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3506 Готовые клеи и прочие готовые адгезивы, в другом месте не поименованные или не включенные; продукты, пригодные для использования в качестве клеев или адгезивов, расфасованные для розничной продажи в качестве клеев или адгезивов, нетто-массой не более 1 кг.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860"/>
        <w:jc w:val="both"/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119" w:right="541" w:bottom="602" w:left="1106" w:header="691" w:footer="17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30 Порядка проведения государственного санитарно</w:t>
        <w:softHyphen/>
        <w:t>эпидемиологического надзора (контроля) на таможенной границе Евразийского экономического союза и на таможенной территории Евразийского экономического союза, утвержденного Решением Комиссии № 299, обращение подконтрольных товаров, подлежащих государственной регистрации, на таможенной территории Союза осуществляется при наличии такой регистрации. В качестве подтверждения наличия государственной регистрации подконтрольных товаров используется свидетельство о государственной регистрации подконтрольных товаров или его 2023-22128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заверенная копия.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Решением Коллегии Евразийской экономической комиссии от 30.06.2017 № 80 утверждены Правила оформления свидетельства о государственной регистрации продукции и утверждена форма свидетельства о государственной регистрации.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Довод подателя жалобы о неправомерном установлении заказчиком требования о наличии в составе заявки свидетельства о государственной регистрации на товар является по существу жалобой на положения извещения о проведении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отмечает, что в силу требований пункта 1 части 2 статьи 105 Закона о контрактной системе жалоба на положения извещения об осуществлении закупки, документации о закупке (в случае, если Законом о контрактной системе предусмотрена документация о закупке) может быть подана до окончания срока подачи заявок на участие в закупке.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вышеизложенного Комиссия Красноярского УФАС России лишена возможности рассмотреть вышеуказанные доводы в рамках рассмотрения жалобы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на основании пункта 1 части 15 статьи 99 Закона о контрактной системе в рамках рассмотрения жалобы Комиссией Красноярского УФАС России была проведена внеплановая проверка, в ходе которой установлено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совокупности вышеуказанных норм следует, что закупаемый товар требует обязательной государственной регистрации, подтверждением наличия которой является свидетельство о государственной регистрации. Свидетельство о государственной регистрации является документом, подтверждающим законность оборота указанной продукции на территории Российской Федерации, и его представление в составе заявки необходимо для проверки законности оборота предложенного к поставке товара на этапе подачи заявки.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Красноярского УФАС России приходит к выводу о том, что действия заказчика при установлении требования о наличии в составе заявки копии свидетельства о государственной регистрации на товар соответствуют положениям подпункта «в» пункта 2 части 1 статьи 43 Закона о контрактной системе, а доводы подателя жалобы о незаконности установленного заказчиком требования и о возможности передачи указанных свидетельств заказчику в момент передачи товара - отклонению.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проанализировав заявку подателя жалобы Комиссия Красноярского УФАС России установила, что в составе его заявки отсутствует свидетельство о государственной регистрации на клей полимерный- силакриловый, предлагаемый к поставке, что противоречит требованиям извещения рассматриваемой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у аукционной комиссии отсутствовали основания для признания заявки подателя жалобы соответствующей требованиям извещения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таких обстоятельствах доводы подателя жалобы не находят своего подтверждения.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Комиссия оценила представленные ООО «Ресурс-К» в ходе рассмотрения письма АО «Региональный орган по сертификации и тестированию» (исх. от 27.11.2019 №230- 20/537 и исх. от 11.09.2023 №221-35/502), адресованные ООО «Лакра Синтез», Комиссия Красноярского УФАС России считает необходимым отметить, что в указанных письмах содержится информация об отсутствии необходимости обязательной сертификации продукции, указанной в письмах, в том числе: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8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краски водно-дисперсионные для внутренних и наружных работ, код ТН ВЭД 3209;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8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краски на растворителях для внутренних и наружных работ, код ТН ВЭД 3208;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клеи, в том числе клеи напольные акриловые водно-дисперсионные для напольных покрытий под торговой маркой Кгазз; клеи универсальные, клеи для всех типов линолеума, клеи для ковролина, код ОКПД2 20.52.10.190.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как было указано выше, заказчиком в составе извещения о проведении электронного аукциона установлено требование о наличии в составе заявки свидетельства о государственной регистрации товара, предлагаемого к поставке, что не является тождественным документам о сертификации товара.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рассмотрении жалобы по существу, подателем жалобы также был заявлен довод о том,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что на рынке полимерный клеев с видом полимера, используемого в качестве основы клея — Силакрилового, отсутствуют производители, у которых имеется свидетельство о государственной регистрации на вышеуказанный клей.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Комиссия проанализировала информацию, содержащуюся в открытом доступе сети «Интернет» и установила, что на рынке полимерных клеев имеются товары, имеющие свидетельство о государственной регистрации продукции.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частью 8 статьи 106 Закона о контрактной системе, Комиссия Красноярского УФАС России решила признать жалобу общества с ограниченной ответственностью «Прометей-2000»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может быть обжаловано в арбитражный суд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702945</wp:posOffset>
                </wp:positionH>
                <wp:positionV relativeFrom="paragraph">
                  <wp:posOffset>12700</wp:posOffset>
                </wp:positionV>
                <wp:extent cx="1600200" cy="560705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020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5.350000000000001pt;margin-top:1.pt;width:126.pt;height:44.149999999999999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Дударева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Косенко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5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И.М. Болотова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Исп.Косенко М.А. тел.(391)2110144</w:t>
      </w:r>
    </w:p>
    <w:sectPr>
      <w:footerReference w:type="default" r:id="rId12"/>
      <w:footnotePr>
        <w:pos w:val="pageBottom"/>
        <w:numFmt w:val="decimal"/>
        <w:numRestart w:val="continuous"/>
      </w:footnotePr>
      <w:pgSz w:w="11900" w:h="16840"/>
      <w:pgMar w:top="1092" w:right="537" w:bottom="1139" w:left="1105" w:header="664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10033635</wp:posOffset>
              </wp:positionV>
              <wp:extent cx="7226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2023-22128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00000000000004pt;margin-top:790.05000000000007pt;width:56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2023-22128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9954260</wp:posOffset>
              </wp:positionV>
              <wp:extent cx="72263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2023-22128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149999999999999pt;margin-top:783.80000000000007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2023-22128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10033635</wp:posOffset>
              </wp:positionV>
              <wp:extent cx="72263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2023-22128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800000000000004pt;margin-top:790.05000000000007pt;width:56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2023-22128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footer" Target="footer4.xml"/></Relationships>
</file>