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1о77@Га8.еоу.т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5.12.2023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53563/23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ФКУ ЦГИЖБО ФСИН России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41@Тм11.доу.М1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Байрамуков А. 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агге1Ъаугас@дтай.сот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798" w:bottom="621" w:left="1298" w:header="0" w:footer="3" w:gutter="0"/>
          <w:pgNumType w:start="1"/>
          <w:cols w:num="2" w:space="1285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тГо@8ЪегЪапк-а81;.ги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0" w:after="11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4" w:right="0" w:bottom="62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077/06/106-17306/2023 о нарушении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717550</wp:posOffset>
                </wp:positionH>
                <wp:positionV relativeFrom="paragraph">
                  <wp:posOffset>12700</wp:posOffset>
                </wp:positionV>
                <wp:extent cx="1231265" cy="466090"/>
                <wp:wrapSquare wrapText="righ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265" cy="466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12.12.2023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0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6.5pt;margin-top:1.pt;width:96.950000000000003pt;height:36.700000000000003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12.12.2023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0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 при участии представителей ФКУ ЦГИЖБО ФСИН России: Е.П. Болдыревой (по дов. № исх. 41/7-1308 от 11.05.2023), В.В. Черненко (по дов. № исх. 41/7-2936 от 08.09.2023),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Байрамуков А. М., о времени и порядке заседания Комиссии уведомленных Московским УФАС России посредством размещения информации в Единой информационной системе,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Байрамуков А. М. (далее — Заявитель) на действия ФКУ ЦГИЖБО ФСИН России (далее — Заказчик) при проведении электронного аукциона на право заключения государственного контракта на оказание услуг по комплексной уборке зданий в местах дислокации структурных подразделений в местах дислокации структурных подразделений ФСИН России и подразделений, непосредственно подчиненных ФСИН России и прилегающей территории по адресам: г. Москва, Дмитровское шоссе, д. 71; г. Москва, ул. Житная, д. 14, стр.1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(этажи № 1,3,9,10,11,12,13); г. Москва, ул. Садовая-Сухаревская, д. 11, стр.1; г. Москва, Кронштадтский бульвар, д. 20а. корп. 7; г. Москва, ул. Нарвская, д. 15а, стр.1, модульное здание, стр. 8 (Закупка № 0373100065123000236) (далее -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об осуществлении закупки в нарушение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Заказчиком неправомерно не установлены дополнительные требования к участникам закупки в соответствии с положениями постановления Правительства Российской Федерации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 2571).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п.1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1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п.1 постановления №2571 установлено, что к участникам закупки отдельных видов товаров, работ, услуг предъявляются дополнительные требования согласно приложению «Дополнительные требования к участникам закупки отдельных видов товаров, работ, услуг для обеспечения государственных и муниципальных нужд» (далее — Приложение). Соответствие участников закупки указанным требованиям подтверждается информацией и документами, предусмотренными Приложением к постановлению №2571.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соответствии с Извещением о проведении электронного аукциона от 04.12.2023 №0373100065123000236 объектом закупки является оказание услуг по комплексной уборке зданий в местах дислокации структурных подразделений в местах дислокации структурных подразделений ФСИН России и подразделений, непосредственно подчиненных ФСИН России и прилегающей территории по адресам: г. Москва, Дмитровское шоссе, д. 71; г. Москва, ул. Житная, д. 14, стр.1 (этажи № 1,3,9,10,11,12,13); г. Москва, ул. Садовая-Сухаревская, д. 11, стр.1; г. Москва, Кронштадтский бульвар, д. 20а. корп. 7; г. Москва, ул. Нарвская, д. 15а, стр.1, модульное здание, стр. 8, при этом начальная (максимальная) цена контракта составляет 24 640 000,00 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36 приложения к постановлению № 2571 при проведении конкурентных процедур по оказанию услуг по уборке зданий, сооружений, прилегающих к ним территорий к участникам закупки устанавливаются дополнительные требования о наличии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1) исполненный договор; 2) акт приемки оказанных услуг, подтверждающий цену оказанных услуг.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«а» п.3 постановления № 2571 положения постановления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приложения к постановлению № 2571 применяется с учетом положений п.3 постановления № 2571 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36 приложения применяется в случае, если при осуществлении закупки начальная (максимальная) цена контракта превышает 1 млн. 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объект закупки включен в Приложение к постановлению № 2571 и превышает определенную начальную (максимальную) цену контракта, ввиду чего Заказчику надлежало установить дополнительные требования к участникам закупки в соответствии с положениями п.36 Приложения к постановлению № 2571.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Управления установлено, что извещение об осуществлении закупки не содержит указание на установление Заказчиком дополнительных требований к участникам закупки, предусмотренных п.36 приложения к Постановлению №2571, при этом Заказчиком установлены дополнительные требования к участникам закупки в соответствии с п.14 приложения к Постановлению №2571.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дополнительные требования, предусмотренные п. 36 приложения к Постановлению № 2571, устанавливаются только к участникам закупки в сфере здравоохранения, образования, науки, обеспечения санитарно</w:t>
        <w:softHyphen/>
        <w:t>эпидемиологического благополучия населения, охраны, при этом ввиду того, что Заказчик не осуществляет свою деятельность в вышеуказанной сфере, что подтверждается сведениями, изложенными в едином государственном реестре юридических лиц и уставе учреждения, Заказчиком не установлены дополнительные требования.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тем Комиссия Управления отмечает, что согласно разъяснениям Минфина России (письмо от 14.04.2023 № 24-06-09/33774) представители Министерства в своем письме отметили, что заказчики, рассматривая вопрос об установлении дополнительных требований к участникам согласно Постановлению № 2571, должны исходить из сформированного объекта закупки, в том числе с учетом видов работ, услуг, тип объекта, а также НМЦК. При этом вид или сфера деятельности заказчика не образует условия применения дополнительных требований к участникам закупки. При этом наименования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разделов, а также позиций, указанных в приложении к Постановлению № 2571, сформированы в отношении сферы закупаемых товаров, работ, услуг и не предусматривают соотнесения с видами или сферами деятельности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объект закупочной процедуры относится к п.36 Приложения к постановлению № 2571, НМЦК данных услуг по уборке превышает 1 млн.руб., ввиду чего Заказчику надлежало установить дополнительные требования к участникам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изложенного Комиссия Управления приходит к выводу о нарушении Заказчиком ч.4 ст.31, п.12 ч.1 ст.42 Закона о контрактной системе, что содержит признаки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4" w:right="541" w:bottom="625" w:left="110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 .Признать жалобу ИП Байрамуков А. М. на действия ФКУ ЦГИЖБО ФСИН России 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нарушение ч.4 ст.31, п.12 ч.1 ст.42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238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0" distB="356235" distL="0" distR="0" simplePos="0" relativeHeight="12582938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508000</wp:posOffset>
                </wp:positionV>
                <wp:extent cx="185039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950000000000003pt;margin-top:40.pt;width:145.70000000000002pt;height:19.699999999999999pt;z-index:-125829373;mso-wrap-distance-left:0;mso-wrap-distance-top:4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44830" distB="0" distL="0" distR="1789430" simplePos="0" relativeHeight="125829382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544830</wp:posOffset>
            </wp:positionV>
            <wp:extent cx="389890" cy="57277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980440</wp:posOffset>
                </wp:positionV>
                <wp:extent cx="1280160" cy="1035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1.15000000000003pt;margin-top:77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669925</wp:posOffset>
                </wp:positionV>
                <wp:extent cx="1725295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55000000000001pt;margin-top:52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08000" distB="356235" distL="0" distR="0" simplePos="0" relativeHeight="125829383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508000</wp:posOffset>
                </wp:positionV>
                <wp:extent cx="1029970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87.05000000000001pt;margin-top:40.pt;width:81.100000000000009pt;height:19.699999999999999pt;z-index:-125829370;mso-wrap-distance-left:0;mso-wrap-distance-top:4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89СЭЕ338Е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5" behindDoc="0" locked="0" layoutInCell="1" allowOverlap="1">
            <wp:simplePos x="0" y="0"/>
            <wp:positionH relativeFrom="page">
              <wp:posOffset>3094990</wp:posOffset>
            </wp:positionH>
            <wp:positionV relativeFrom="paragraph">
              <wp:posOffset>50800</wp:posOffset>
            </wp:positionV>
            <wp:extent cx="365760" cy="408305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151130</wp:posOffset>
                </wp:positionV>
                <wp:extent cx="1725295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55000000000001pt;margin-top:11.9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</w:pPr>
      <w:r>
        <w:rPr>
          <w:color w:val="EAEAE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6366183222Е5ОСЕ2САЗЕ6О732820С91С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23.01.2023 по 17.04.2024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1.10000000000002pt;margin-top:36.550000000000004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5pt;margin-top:11.8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0092302А1Е2Е82694604ЕЕЕ772202557ЕЕ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5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05.12.2023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27.02.2025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2023-60734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94.7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2023-60734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2023-60734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2023-60734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445135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75pt;margin-top:35.05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Основной текст (5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auto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