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ф</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Липецкой области</w:t>
      </w:r>
    </w:p>
    <w:p>
      <w:pPr>
        <w:pStyle w:val="Style7"/>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пл. Плеханова, 1, г. Липецк, 398050</w:t>
        <w:br/>
        <w:t>тел./факс (4742) 27-14-82</w:t>
      </w:r>
    </w:p>
    <w:p>
      <w:pPr>
        <w:pStyle w:val="Style7"/>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 xml:space="preserve">е-таП: 1о48@Газ. </w:t>
      </w:r>
      <w:r>
        <w:rPr>
          <w:rFonts w:ascii="Arial" w:eastAsia="Arial" w:hAnsi="Arial" w:cs="Arial"/>
          <w:smallCaps/>
          <w:spacing w:val="0"/>
          <w:w w:val="100"/>
          <w:position w:val="0"/>
          <w:sz w:val="13"/>
          <w:szCs w:val="13"/>
          <w:shd w:val="clear" w:color="auto" w:fill="auto"/>
          <w:lang w:val="ru-RU" w:eastAsia="ru-RU" w:bidi="ru-RU"/>
        </w:rPr>
        <w:t>§оу.гп</w:t>
      </w:r>
      <w:r>
        <w:rPr>
          <w:spacing w:val="0"/>
          <w:w w:val="100"/>
          <w:position w:val="0"/>
          <w:shd w:val="clear" w:color="auto" w:fill="auto"/>
          <w:lang w:val="ru-RU" w:eastAsia="ru-RU" w:bidi="ru-RU"/>
        </w:rPr>
        <w:t xml:space="preserve"> 1И1р://11ре1бк.Га8.доу.ги</w:t>
      </w:r>
    </w:p>
    <w:p>
      <w:pPr>
        <w:pStyle w:val="Style13"/>
        <w:keepNext/>
        <w:keepLines/>
        <w:widowControl w:val="0"/>
        <w:shd w:val="clear" w:color="auto" w:fill="auto"/>
        <w:tabs>
          <w:tab w:pos="1814"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5.12,2023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ТР/8944/23</w:t>
      </w:r>
      <w:bookmarkEnd w:id="0"/>
    </w:p>
    <w:p>
      <w:pPr>
        <w:pStyle w:val="Style10"/>
        <w:keepNext w:val="0"/>
        <w:keepLines w:val="0"/>
        <w:widowControl w:val="0"/>
        <w:shd w:val="clear" w:color="auto" w:fill="auto"/>
        <w:bidi w:val="0"/>
        <w:spacing w:before="0" w:after="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pStyle w:val="Style17"/>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Индивидуальный предприниматель Гусев Алексей Александрович §ег220785@дтаП.сот</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Муниципальное казенное учреждение «Управление муниципального заказа города Липецка»</w:t>
      </w:r>
    </w:p>
    <w:p>
      <w:pPr>
        <w:pStyle w:val="Style17"/>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VО^оЪуеVааа@1^ре1:8кс^^у.^и ткиит2@Нре18ксйу.ги</w:t>
      </w:r>
    </w:p>
    <w:p>
      <w:pPr>
        <w:pStyle w:val="Style17"/>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361" w:right="954" w:bottom="1207" w:left="1140" w:header="0" w:footer="3" w:gutter="0"/>
          <w:pgNumType w:start="1"/>
          <w:cols w:num="2" w:space="725"/>
          <w:noEndnote/>
          <w:titlePg/>
          <w:rtlGutter w:val="0"/>
          <w:docGrid w:linePitch="360"/>
        </w:sectPr>
      </w:pPr>
      <w:r>
        <w:rPr>
          <w:color w:val="000000"/>
          <w:spacing w:val="0"/>
          <w:w w:val="100"/>
          <w:position w:val="0"/>
          <w:shd w:val="clear" w:color="auto" w:fill="auto"/>
          <w:lang w:val="ru-RU" w:eastAsia="ru-RU" w:bidi="ru-RU"/>
        </w:rPr>
        <w:t>Муниципальное бюджетное учреждение спортивный комплекс "Сокол" ти8к8око1@таП.ги</w:t>
      </w:r>
    </w:p>
    <w:p>
      <w:pPr>
        <w:widowControl w:val="0"/>
        <w:spacing w:before="60" w:after="6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85" w:right="0" w:bottom="1182" w:left="0" w:header="0" w:footer="3" w:gutter="0"/>
          <w:cols w:space="720"/>
          <w:noEndnote/>
          <w:rtlGutter w:val="0"/>
          <w:docGrid w:linePitch="360"/>
        </w:sectPr>
      </w:pPr>
    </w:p>
    <w:p>
      <w:pPr>
        <w:pStyle w:val="Style17"/>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 № 048/06/106-1074/2023</w:t>
      </w:r>
    </w:p>
    <w:p>
      <w:pPr>
        <w:pStyle w:val="Style17"/>
        <w:keepNext w:val="0"/>
        <w:keepLines w:val="0"/>
        <w:widowControl w:val="0"/>
        <w:shd w:val="clear" w:color="auto" w:fill="auto"/>
        <w:tabs>
          <w:tab w:pos="9091" w:val="left"/>
        </w:tabs>
        <w:bidi w:val="0"/>
        <w:spacing w:before="0" w:after="260" w:line="240" w:lineRule="auto"/>
        <w:ind w:left="0" w:right="0" w:firstLine="0"/>
        <w:jc w:val="both"/>
      </w:pPr>
      <w:r>
        <w:rPr>
          <w:color w:val="000000"/>
          <w:spacing w:val="0"/>
          <w:w w:val="100"/>
          <w:position w:val="0"/>
          <w:shd w:val="clear" w:color="auto" w:fill="auto"/>
          <w:lang w:val="ru-RU" w:eastAsia="ru-RU" w:bidi="ru-RU"/>
        </w:rPr>
        <w:t>«12» декабря 2023 года</w:t>
        <w:tab/>
        <w:t>г. Липецк</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Резолютивная часть решения оглашена 12.12.2023.</w:t>
      </w:r>
    </w:p>
    <w:p>
      <w:pPr>
        <w:pStyle w:val="Style17"/>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Решение в полном объеме изготовлено 15.12.2023.</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заместитель председателя Комиссии: Т.Н. Ролдугина - начальник отдела контроля закупок и торгов, члены Комиссии: С.С. Кажушко - ведущий специалист-эксперт отдела контроля закупок и торгов, Д.Е. Кудрявцева - специалист 1 разряда отдела контроля закупок и торгов,</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участии посредством видеоконференцсвязи представителя уполномоченного учреждения - муниципального казенного учреждения «Управление муниципального заказа города Липецка» - Воробьевой А.А. (по доверенности),</w:t>
      </w:r>
    </w:p>
    <w:p>
      <w:pPr>
        <w:pStyle w:val="Style17"/>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рассмотрев жалобу индивидуального предпринимателя Гусева Алексея Александровича на действия комиссии по осуществлению закупок муниципального казенного учреждения «Управление муниципального заказа города Липецка» по итогам проведения электронного аукциона на закупку спортивных товаров (реестровый номер 0846600002123000776) (далее - электронный аукцион; закупка), а также другие документы (копии), представленные сторонами, заслушав мнение представителя уполномоченного учреждения, проведя внеплановую проверку в соответствии со статьей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на основании приказа Липецкого УФАС России,</w:t>
      </w:r>
    </w:p>
    <w:p>
      <w:pPr>
        <w:pStyle w:val="Style17"/>
        <w:keepNext w:val="0"/>
        <w:keepLines w:val="0"/>
        <w:widowControl w:val="0"/>
        <w:shd w:val="clear" w:color="auto" w:fill="auto"/>
        <w:bidi w:val="0"/>
        <w:spacing w:before="0" w:after="640" w:line="240" w:lineRule="auto"/>
        <w:ind w:left="0" w:right="0" w:firstLine="0"/>
        <w:jc w:val="center"/>
      </w:pPr>
      <w:r>
        <w:rPr>
          <w:color w:val="000000"/>
          <w:spacing w:val="0"/>
          <w:w w:val="100"/>
          <w:position w:val="0"/>
          <w:shd w:val="clear" w:color="auto" w:fill="auto"/>
          <w:lang w:val="ru-RU" w:eastAsia="ru-RU" w:bidi="ru-RU"/>
        </w:rPr>
        <w:t>У С Т А Н О В И Л А:</w:t>
      </w:r>
    </w:p>
    <w:p>
      <w:pPr>
        <w:pStyle w:val="Style22"/>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111111111111111111111111</w:t>
      </w:r>
      <w:bookmarkEnd w:id="2"/>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Липецкое УФАС России посредством функционала ЕИС поступила жалоба индивидуального предпринимателя Гусева Алексея Александровича (далее - заявитель) на действия комиссии по осуществлению закупок муниципального казенного учреждения «Управление муниципального заказа города Липецка» (далее - уполномоченное учреждение) при проведении электронного аукциона.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Закона о контрактной системе и подана в срок, установленный статьей 105 Закона о контрактной системе. В связи с этим, жалоба была принята Липецким УФАС России к рассмотрению.</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Сведения о времени и месте ее рассмотрения размещены Липецким УФАС России в ЕИС.</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Заявитель, заказчик, надлежащим образом уведомленные о месте и времени рассмотрения жалобы, своих представителей не направили.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Как следует из жалобы заявителя заявка заявителя была отклонена комиссией по осуществлению закупок уполномоченного учреждения по основанию, указанному в протоколе, поскольку участник закупки не предоставил информацию о конкретных показателях товара, предлагаемого к поставке. Так, в структурированном описании объекта закупки и инструкции по заполнению характеристик в заявке по товару с наименованием - «Гриф прямой» по характеристике «Диаметр грифа» указано значение &gt;28, а в заявке заявителя значение характеристики предлагаемого к поставке товара указано &gt;28. По мнению заявителя, если заказчик установил в описании объекта закупки характеристики в формулировках, отсутствующих в инструкции, необходимо данные формулировки оставить без изменения. Ввиду того, что инструкция не содержит формулировок относительно знака «&gt;», то участник оставляет данный знак без изменений, и, следовательно, характеристика, указанная в заявке, должна иметь вид «&gt;28». На основании изложенного, заявитель полагает, что его заявка соответствует требованиям извещения о проведении электронного аукциона.</w:t>
      </w:r>
    </w:p>
    <w:p>
      <w:pPr>
        <w:pStyle w:val="Style17"/>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Представитель уполномоченного учреждения пояснил, что вопреки доводам заявителя, обстоятельства, изложенные в жалобе, не соответствуют действительности. Так, в описании объекта закупки характеристика «Диаметр грифа» имеет значение &lt;28, в свою очередь заявка заявителя содержит показателя значение: 28. Значение характеристики, указанное в заявке заявителя, не соответствовало описанию объекта закупки, в связи с чем, заявка заявителя была отклонена от участия в закупке.</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Извещение о проведении электронного аукциона размещено в ЕИС 23.11.2023.</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Объект закупки -закупка спортивных товаров.</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Начальная (максимальная) цена контракта - 1 098 150,00 руб.</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05.12.2023 в ЕИС и на электронной площадке размещен протокол подведения итогов определения поставщика (подрядчика, исполнителя) №ИЭА1.</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№ИЭА1 от 05.12.2023 на участие в электронном аукционе поступило 2 заявки с идентификационными номерами: 186, 173 (заявитель).</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Как следует из данного протокола заявка с идентификационным номером 186 признана соответствующей требованиям извещения о проведении электронного аукциона, а заявка с идентификационным номером 173 (заявитель) отклонена комиссией на основании (п.1 ч.12 ст. 48) - непредставление информации и документов, предусмотренных извещением, несоответствия таких информации и документов (Несоответствие характеристик предлагаемого участником закупки товара, установленным в структурированном описании объекта закупки и инструкции по заполнению характеристик </w:t>
      </w:r>
      <w:r>
        <w:rPr>
          <w:color w:val="000000"/>
          <w:spacing w:val="0"/>
          <w:w w:val="100"/>
          <w:position w:val="0"/>
          <w:shd w:val="clear" w:color="auto" w:fill="auto"/>
          <w:lang w:val="ru-RU" w:eastAsia="ru-RU" w:bidi="ru-RU"/>
        </w:rPr>
        <w:t xml:space="preserve">в заявке по товарам с наименованием: - </w:t>
      </w:r>
      <w:r>
        <w:rPr>
          <w:i/>
          <w:iCs/>
          <w:color w:val="000000"/>
          <w:spacing w:val="0"/>
          <w:w w:val="100"/>
          <w:position w:val="0"/>
          <w:u w:val="single"/>
          <w:shd w:val="clear" w:color="auto" w:fill="auto"/>
          <w:lang w:val="ru-RU" w:eastAsia="ru-RU" w:bidi="ru-RU"/>
        </w:rPr>
        <w:t>«Гриф прямой» по характеристике: «Диаметр грифа» со значением характеристики «&lt; 28», участником предложено значение «28»</w:t>
      </w:r>
      <w:r>
        <w:rPr>
          <w:color w:val="000000"/>
          <w:spacing w:val="0"/>
          <w:w w:val="100"/>
          <w:position w:val="0"/>
          <w:shd w:val="clear" w:color="auto" w:fill="auto"/>
          <w:lang w:val="ru-RU" w:eastAsia="ru-RU" w:bidi="ru-RU"/>
        </w:rPr>
        <w:t>; - «Комплект олимпийских дисков» по характеристике «Количество дисков массой ...» со значением характеристики «&gt;6», участником предложено значение «6»; -«Подставка под гантели» по характеристике «Ширина» со значением характеристики «&lt;1000» предложено значение «1000»; по характеристике «Длина стойки» со значением характеристики «&gt;2200 и &lt;2250», участником предложено значение «2200»; тогда как знак «&lt;» означает меньше установленного значения и не включает крайнее максимальное значение, а знак «&gt;» означает больше установленного значения и не включает крайнее минимальное значение.).</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приложении к извещению о проведении электронного аукциона «Описание объекта закупки» содержатся наименования товаров с их характеристиками.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Установлено, что закупаемый товар «гриф прямой» описан в соответствии с позицией </w:t>
      </w:r>
      <w:r>
        <w:rPr>
          <w:color w:val="000000"/>
          <w:spacing w:val="0"/>
          <w:w w:val="100"/>
          <w:position w:val="0"/>
          <w:sz w:val="24"/>
          <w:szCs w:val="24"/>
          <w:shd w:val="clear" w:color="auto" w:fill="auto"/>
          <w:lang w:val="ru-RU" w:eastAsia="ru-RU" w:bidi="ru-RU"/>
        </w:rPr>
        <w:t xml:space="preserve">32.30.14.129-00000029 «Гриф прямой» </w:t>
      </w:r>
      <w:r>
        <w:rPr>
          <w:color w:val="000000"/>
          <w:spacing w:val="0"/>
          <w:w w:val="100"/>
          <w:position w:val="0"/>
          <w:shd w:val="clear" w:color="auto" w:fill="auto"/>
          <w:lang w:val="ru-RU" w:eastAsia="ru-RU" w:bidi="ru-RU"/>
        </w:rPr>
        <w:t>Каталога товаров, работ, услуг (далее - КТРУ). Заказчиком также использованы дополнительные характеристики, что в рассматриваемом случае не запрещено действующим законодательством.</w:t>
      </w:r>
    </w:p>
    <w:p>
      <w:pPr>
        <w:pStyle w:val="Style17"/>
        <w:keepNext w:val="0"/>
        <w:keepLines w:val="0"/>
        <w:widowControl w:val="0"/>
        <w:shd w:val="clear" w:color="auto" w:fill="auto"/>
        <w:bidi w:val="0"/>
        <w:spacing w:before="0" w:after="280" w:line="240" w:lineRule="auto"/>
        <w:ind w:left="0" w:right="0" w:firstLine="600"/>
        <w:jc w:val="both"/>
      </w:pPr>
      <w:r>
        <w:rPr>
          <w:color w:val="000000"/>
          <w:spacing w:val="0"/>
          <w:w w:val="100"/>
          <w:position w:val="0"/>
          <w:shd w:val="clear" w:color="auto" w:fill="auto"/>
          <w:lang w:val="ru-RU" w:eastAsia="ru-RU" w:bidi="ru-RU"/>
        </w:rPr>
        <w:t>В описании объекта закупки, в числе прочего, установлено следующее:</w:t>
      </w:r>
    </w:p>
    <w:tbl>
      <w:tblPr>
        <w:tblOverlap w:val="never"/>
        <w:jc w:val="center"/>
        <w:tblLayout w:type="fixed"/>
      </w:tblPr>
      <w:tblGrid>
        <w:gridCol w:w="1723"/>
        <w:gridCol w:w="1258"/>
        <w:gridCol w:w="1776"/>
        <w:gridCol w:w="1795"/>
        <w:gridCol w:w="1771"/>
        <w:gridCol w:w="1781"/>
      </w:tblGrid>
      <w:tr>
        <w:trPr>
          <w:trHeight w:val="422" w:hRule="exact"/>
        </w:trPr>
        <w:tc>
          <w:tcPr>
            <w:vMerge w:val="restart"/>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Наименование товара, работы, услуги</w:t>
            </w:r>
          </w:p>
        </w:tc>
        <w:tc>
          <w:tcPr>
            <w:vMerge w:val="restart"/>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Код позиции</w:t>
            </w:r>
          </w:p>
        </w:tc>
        <w:tc>
          <w:tcPr>
            <w:gridSpan w:val="4"/>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Характеристики товара, работы, услуги</w:t>
            </w:r>
          </w:p>
        </w:tc>
      </w:tr>
      <w:tr>
        <w:trPr>
          <w:trHeight w:val="1176"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Наименование характеристики</w:t>
            </w:r>
          </w:p>
        </w:tc>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Значение характеристики</w:t>
            </w:r>
          </w:p>
        </w:tc>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Единица измерения характеристики</w:t>
            </w:r>
          </w:p>
        </w:tc>
        <w:tc>
          <w:tcPr>
            <w:tcBorders>
              <w:top w:val="single" w:sz="4"/>
              <w:left w:val="single" w:sz="4"/>
              <w:righ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Инструкция по заполнению характеристик в заявке</w:t>
            </w:r>
          </w:p>
        </w:tc>
      </w:tr>
      <w:tr>
        <w:trPr>
          <w:trHeight w:val="1944" w:hRule="exact"/>
        </w:trPr>
        <w:tc>
          <w:tcPr>
            <w:tcBorders>
              <w:top w:val="single" w:sz="4"/>
              <w:left w:val="single" w:sz="4"/>
              <w:bottom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Гриф прямой</w:t>
            </w:r>
          </w:p>
        </w:tc>
        <w:tc>
          <w:tcPr>
            <w:tcBorders>
              <w:top w:val="single" w:sz="4"/>
              <w:left w:val="single" w:sz="4"/>
              <w:bottom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32.30.14.129</w:t>
              <w:softHyphen/>
            </w:r>
          </w:p>
          <w:p>
            <w:pPr>
              <w:pStyle w:val="Style2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00000029</w:t>
            </w:r>
          </w:p>
        </w:tc>
        <w:tc>
          <w:tcPr>
            <w:tcBorders>
              <w:top w:val="single" w:sz="4"/>
              <w:left w:val="single" w:sz="4"/>
              <w:bottom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Диаметр грифа</w:t>
            </w:r>
          </w:p>
        </w:tc>
        <w:tc>
          <w:tcPr>
            <w:tcBorders>
              <w:top w:val="single" w:sz="4"/>
              <w:left w:val="single" w:sz="4"/>
              <w:bottom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&lt; 28</w:t>
            </w:r>
          </w:p>
        </w:tc>
        <w:tc>
          <w:tcPr>
            <w:tcBorders>
              <w:top w:val="single" w:sz="4"/>
              <w:left w:val="single" w:sz="4"/>
              <w:bottom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Миллиметр</w:t>
            </w:r>
          </w:p>
        </w:tc>
        <w:tc>
          <w:tcPr>
            <w:tcBorders>
              <w:top w:val="single" w:sz="4"/>
              <w:left w:val="single" w:sz="4"/>
              <w:bottom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Участник закупки указывает в заявке конкретное значение характеристики</w:t>
            </w:r>
          </w:p>
        </w:tc>
      </w:tr>
    </w:tbl>
    <w:p>
      <w:pPr>
        <w:widowControl w:val="0"/>
        <w:spacing w:after="279" w:line="1" w:lineRule="exact"/>
      </w:pP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Приложение к извещению о проведении электронного аукциона «Требования к содержанию, состав заявки на участие в электронном аукционе и инструкция по ее заполнению» содержит инструкцию по заполнению заявки. Вместе с тем, данная инструкция не содержит указаний и разъяснений для участников закупки по заполнению заявки в части применения математического знака сравнения «&lt;». При этом, из инструкции, содержащейся в структурированной форме извещения о проведении электронного аукциона, следует, что участник закупки должен указать в заявке конкретное значение характеристики.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Установлено, что значение характеристики примененной позиции КТРУ содержит математические знаки сравнения. Интерпретировать математические знаки сравнения в ином виде невозможно ввиду того, что данные значения определены позицией КТРУ.</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общепринятом понимании математический знак «&lt;» означает любое значение меньше числа, сопровождающего такой знак, и не включает крайнее максимальное значение (данное число).</w:t>
      </w:r>
    </w:p>
    <w:p>
      <w:pPr>
        <w:pStyle w:val="Style17"/>
        <w:keepNext w:val="0"/>
        <w:keepLines w:val="0"/>
        <w:widowControl w:val="0"/>
        <w:shd w:val="clear" w:color="auto" w:fill="auto"/>
        <w:bidi w:val="0"/>
        <w:spacing w:before="0" w:after="280" w:line="240" w:lineRule="auto"/>
        <w:ind w:left="0" w:right="0" w:firstLine="600"/>
        <w:jc w:val="both"/>
      </w:pPr>
      <w:r>
        <w:rPr>
          <w:color w:val="000000"/>
          <w:spacing w:val="0"/>
          <w:w w:val="100"/>
          <w:position w:val="0"/>
          <w:shd w:val="clear" w:color="auto" w:fill="auto"/>
          <w:lang w:val="ru-RU" w:eastAsia="ru-RU" w:bidi="ru-RU"/>
        </w:rPr>
        <w:t>Учитывая вышеизложенное, в рассматриваемом случае участнику закупки в отношении характеристики «диаметр грифа» необходимо указать любое значение меньше 28 мм.</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Проанализировав заявки участников электронного аукциона, поступивших от оператора электронной площадки, Комиссия Липецкого УФАС России установила, что заявка заявителя (идентификационный номер 173) содержит предложение о поставке грифа прямого со значением характеристики «диаметр грифа»: </w:t>
      </w:r>
      <w:r>
        <w:rPr>
          <w:b/>
          <w:bCs/>
          <w:color w:val="000000"/>
          <w:spacing w:val="0"/>
          <w:w w:val="100"/>
          <w:position w:val="0"/>
          <w:shd w:val="clear" w:color="auto" w:fill="auto"/>
          <w:lang w:val="ru-RU" w:eastAsia="ru-RU" w:bidi="ru-RU"/>
        </w:rPr>
        <w:t>28</w:t>
      </w:r>
      <w:r>
        <w:rPr>
          <w:color w:val="000000"/>
          <w:spacing w:val="0"/>
          <w:w w:val="100"/>
          <w:position w:val="0"/>
          <w:shd w:val="clear" w:color="auto" w:fill="auto"/>
          <w:lang w:val="ru-RU" w:eastAsia="ru-RU" w:bidi="ru-RU"/>
        </w:rPr>
        <w:t>, что не является значением меньшим по отношению к 28.</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Кроме того, заявка заявителя также содержала значения характеристик иных приобретаемых товаров, не соответствующих требованиям описания объекта закупки, о чем указано в протоколе подведения итогов определения поставщика (подрядчика, исполнителя) №ИЭА1 от 05.12.2023.</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п. 1 ч. 12 ст. 48 Закона о контрактной системе заявка подлежит отклонению в случае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7"/>
        <w:keepNext w:val="0"/>
        <w:keepLines w:val="0"/>
        <w:widowControl w:val="0"/>
        <w:numPr>
          <w:ilvl w:val="0"/>
          <w:numId w:val="1"/>
        </w:numPr>
        <w:shd w:val="clear" w:color="auto" w:fill="auto"/>
        <w:tabs>
          <w:tab w:pos="92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члены комиссии по осуществлению закупок:</w:t>
      </w:r>
    </w:p>
    <w:p>
      <w:pPr>
        <w:pStyle w:val="Style17"/>
        <w:keepNext w:val="0"/>
        <w:keepLines w:val="0"/>
        <w:widowControl w:val="0"/>
        <w:numPr>
          <w:ilvl w:val="0"/>
          <w:numId w:val="3"/>
        </w:numPr>
        <w:shd w:val="clear" w:color="auto" w:fill="auto"/>
        <w:tabs>
          <w:tab w:pos="92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7"/>
        <w:keepNext w:val="0"/>
        <w:keepLines w:val="0"/>
        <w:widowControl w:val="0"/>
        <w:numPr>
          <w:ilvl w:val="0"/>
          <w:numId w:val="3"/>
        </w:numPr>
        <w:shd w:val="clear" w:color="auto" w:fill="auto"/>
        <w:tabs>
          <w:tab w:pos="92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7"/>
        <w:keepNext w:val="0"/>
        <w:keepLines w:val="0"/>
        <w:widowControl w:val="0"/>
        <w:numPr>
          <w:ilvl w:val="0"/>
          <w:numId w:val="1"/>
        </w:numPr>
        <w:shd w:val="clear" w:color="auto" w:fill="auto"/>
        <w:tabs>
          <w:tab w:pos="92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r>
        <w:br w:type="page"/>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Исходя из вышеизложенного, с учетом наличия в составе заявки с идентификационным номером 173 характеристик товаров, несоответствующих требованиям извещения о проведении закупки, комиссия по осуществлению закупок уполномоченного учреждения правомерно ее отклонила.</w:t>
      </w:r>
    </w:p>
    <w:p>
      <w:pPr>
        <w:pStyle w:val="Style17"/>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Руководствуясь статьей 99, статьей 106 Закона о контрактной системе, Комиссия Липецкого УФАС России</w:t>
      </w:r>
    </w:p>
    <w:p>
      <w:pPr>
        <w:pStyle w:val="Style17"/>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 Е Ш И Л 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1. Признать жалобу индивидуального предпринимателя Гусева Алексея Александровича на действия комиссии по осуществлению закупок муниципального казенного учреждения «Управление муниципального заказа города Липецка» по итогам проведения электронного аукциона на закупку спортивных товаров (реестровый номер 0846600002123000776) необоснованной.</w:t>
      </w:r>
    </w:p>
    <w:p>
      <w:pPr>
        <w:pStyle w:val="Style17"/>
        <w:keepNext w:val="0"/>
        <w:keepLines w:val="0"/>
        <w:widowControl w:val="0"/>
        <w:shd w:val="clear" w:color="auto" w:fill="auto"/>
        <w:bidi w:val="0"/>
        <w:spacing w:before="0" w:after="620" w:line="240" w:lineRule="auto"/>
        <w:ind w:left="0" w:right="0" w:firstLine="600"/>
        <w:jc w:val="both"/>
      </w:pPr>
      <w:r>
        <w:rPr>
          <w:color w:val="000000"/>
          <w:spacing w:val="0"/>
          <w:w w:val="100"/>
          <w:position w:val="0"/>
          <w:shd w:val="clear" w:color="auto" w:fill="auto"/>
          <w:lang w:val="ru-RU" w:eastAsia="ru-RU" w:bidi="ru-RU"/>
        </w:rPr>
        <w:t>Решение может быть обжаловано в арбитражный суд в течение трех месяцев со дня его вынесения.</w:t>
      </w:r>
    </w:p>
    <w:p>
      <w:pPr>
        <w:pStyle w:val="Style17"/>
        <w:keepNext w:val="0"/>
        <w:keepLines w:val="0"/>
        <w:widowControl w:val="0"/>
        <w:shd w:val="clear" w:color="auto" w:fill="auto"/>
        <w:bidi w:val="0"/>
        <w:spacing w:before="0" w:after="90" w:line="240" w:lineRule="auto"/>
        <w:ind w:left="0" w:right="0" w:firstLine="0"/>
        <w:jc w:val="both"/>
      </w:pPr>
      <w:r>
        <w:drawing>
          <wp:anchor distT="91440" distB="0" distL="114300" distR="4186555" simplePos="0" relativeHeight="125829378" behindDoc="0" locked="0" layoutInCell="1" allowOverlap="1">
            <wp:simplePos x="0" y="0"/>
            <wp:positionH relativeFrom="page">
              <wp:posOffset>2809240</wp:posOffset>
            </wp:positionH>
            <wp:positionV relativeFrom="paragraph">
              <wp:posOffset>104140</wp:posOffset>
            </wp:positionV>
            <wp:extent cx="311150" cy="365760"/>
            <wp:wrapSquare wrapText="lef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3202305</wp:posOffset>
                </wp:positionH>
                <wp:positionV relativeFrom="paragraph">
                  <wp:posOffset>173990</wp:posOffset>
                </wp:positionV>
                <wp:extent cx="1722120" cy="255905"/>
                <wp:wrapNone/>
                <wp:docPr id="7" name="Shape 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3" type="#_x0000_t202" style="position:absolute;margin-left:252.15000000000001pt;margin-top:13.700000000000001pt;width:135.59999999999999pt;height:20.15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0" distB="219075" distL="3406140" distR="114300" simplePos="0" relativeHeight="125829379" behindDoc="0" locked="0" layoutInCell="1" allowOverlap="1">
                <wp:simplePos x="0" y="0"/>
                <wp:positionH relativeFrom="page">
                  <wp:posOffset>6101080</wp:posOffset>
                </wp:positionH>
                <wp:positionV relativeFrom="paragraph">
                  <wp:posOffset>12700</wp:posOffset>
                </wp:positionV>
                <wp:extent cx="1090930" cy="234950"/>
                <wp:wrapSquare wrapText="left"/>
                <wp:docPr id="9" name="Shape 9"/>
                <a:graphic xmlns:a="http://schemas.openxmlformats.org/drawingml/2006/main">
                  <a:graphicData uri="http://schemas.microsoft.com/office/word/2010/wordprocessingShape">
                    <wps:wsp>
                      <wps:cNvSpPr txBox="1"/>
                      <wps:spPr>
                        <a:xfrm>
                          <a:ext cx="1090930"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Т.Н. Ролдугина</w:t>
                            </w:r>
                          </w:p>
                        </w:txbxContent>
                      </wps:txbx>
                      <wps:bodyPr wrap="none" lIns="0" tIns="0" rIns="0" bIns="0">
                        <a:noAutoFit/>
                      </wps:bodyPr>
                    </wps:wsp>
                  </a:graphicData>
                </a:graphic>
              </wp:anchor>
            </w:drawing>
          </mc:Choice>
          <mc:Fallback>
            <w:pict>
              <v:shape id="_x0000_s1035" type="#_x0000_t202" style="position:absolute;margin-left:480.40000000000003pt;margin-top:1.pt;width:85.900000000000006pt;height:18.5pt;z-index:-125829374;mso-wrap-distance-left:268.19999999999999pt;mso-wrap-distance-right:9.pt;mso-wrap-distance-bottom:17.2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Т.Н. Ролдугина</w:t>
                      </w:r>
                    </w:p>
                  </w:txbxContent>
                </v:textbox>
                <w10:wrap type="square" side="left" anchorx="page"/>
              </v:shape>
            </w:pict>
          </mc:Fallback>
        </mc:AlternateContent>
      </w:r>
      <w:r>
        <w:rPr>
          <w:color w:val="000000"/>
          <w:spacing w:val="0"/>
          <w:w w:val="100"/>
          <w:position w:val="0"/>
          <w:shd w:val="clear" w:color="auto" w:fill="auto"/>
          <w:lang w:val="ru-RU" w:eastAsia="ru-RU" w:bidi="ru-RU"/>
        </w:rPr>
        <w:t>Заместитель председателя Комиссии:</w:t>
      </w:r>
    </w:p>
    <w:p>
      <w:pPr>
        <w:pStyle w:val="Style3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33"/>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737373"/>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Ролдугина Татьяна Николаевна</w:t>
      </w:r>
    </w:p>
    <w:p>
      <w:pPr>
        <w:pStyle w:val="Style3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ООАОА04Е6СОАС8В1 В53СВ77С7В2АС0В8</w:t>
      </w:r>
      <w:r>
        <w:rPr>
          <w:spacing w:val="0"/>
          <w:w w:val="100"/>
          <w:position w:val="0"/>
          <w:shd w:val="clear" w:color="auto" w:fill="auto"/>
          <w:lang w:val="ru-RU" w:eastAsia="ru-RU" w:bidi="ru-RU"/>
        </w:rPr>
        <w:t>С</w:t>
      </w:r>
    </w:p>
    <w:p>
      <w:pPr>
        <w:pStyle w:val="Style33"/>
        <w:keepNext w:val="0"/>
        <w:keepLines w:val="0"/>
        <w:widowControl w:val="0"/>
        <w:shd w:val="clear" w:color="auto" w:fill="auto"/>
        <w:bidi w:val="0"/>
        <w:spacing w:before="0" w:after="200" w:line="240" w:lineRule="auto"/>
        <w:ind w:right="0" w:firstLine="0"/>
        <w:jc w:val="left"/>
      </w:pPr>
      <w:r>
        <w:rPr>
          <w:color w:val="737373"/>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737373"/>
          <w:spacing w:val="0"/>
          <w:w w:val="100"/>
          <w:position w:val="0"/>
          <w:shd w:val="clear" w:color="auto" w:fill="auto"/>
          <w:lang w:val="ru-RU" w:eastAsia="ru-RU" w:bidi="ru-RU"/>
        </w:rPr>
        <w:t xml:space="preserve">11.01.2023 по </w:t>
      </w:r>
      <w:r>
        <w:rPr>
          <w:spacing w:val="0"/>
          <w:w w:val="100"/>
          <w:position w:val="0"/>
          <w:shd w:val="clear" w:color="auto" w:fill="auto"/>
          <w:lang w:val="ru-RU" w:eastAsia="ru-RU" w:bidi="ru-RU"/>
        </w:rPr>
        <w:t>05.04.2024</w:t>
      </w:r>
    </w:p>
    <w:p>
      <w:pPr>
        <w:pStyle w:val="Style17"/>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7"/>
        <w:keepNext w:val="0"/>
        <w:keepLines w:val="0"/>
        <w:widowControl w:val="0"/>
        <w:shd w:val="clear" w:color="auto" w:fill="auto"/>
        <w:bidi w:val="0"/>
        <w:spacing w:before="0" w:after="410" w:line="240" w:lineRule="auto"/>
        <w:ind w:left="1780" w:right="0" w:firstLine="0"/>
        <w:jc w:val="left"/>
      </w:pPr>
      <w:r>
        <w:drawing>
          <wp:anchor distT="0" distB="0" distL="114300" distR="1918970" simplePos="0" relativeHeight="125829381" behindDoc="0" locked="0" layoutInCell="1" allowOverlap="1">
            <wp:simplePos x="0" y="0"/>
            <wp:positionH relativeFrom="page">
              <wp:posOffset>2809240</wp:posOffset>
            </wp:positionH>
            <wp:positionV relativeFrom="paragraph">
              <wp:posOffset>76200</wp:posOffset>
            </wp:positionV>
            <wp:extent cx="311150" cy="365760"/>
            <wp:wrapSquare wrapText="righ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3202305</wp:posOffset>
                </wp:positionH>
                <wp:positionV relativeFrom="paragraph">
                  <wp:posOffset>146050</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52.15000000000001pt;margin-top:11.5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С.С. Кажушко</w:t>
      </w:r>
    </w:p>
    <w:p>
      <w:pPr>
        <w:pStyle w:val="Style31"/>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33"/>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737373"/>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Кажушко Светлана Сергеевна</w:t>
      </w:r>
    </w:p>
    <w:p>
      <w:pPr>
        <w:pStyle w:val="Style3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140975008Е01СЕ086Е280850РА906274</w:t>
      </w:r>
    </w:p>
    <w:p>
      <w:pPr>
        <w:pStyle w:val="Style33"/>
        <w:keepNext w:val="0"/>
        <w:keepLines w:val="0"/>
        <w:widowControl w:val="0"/>
        <w:shd w:val="clear" w:color="auto" w:fill="auto"/>
        <w:bidi w:val="0"/>
        <w:spacing w:before="0" w:after="200" w:line="240" w:lineRule="auto"/>
        <w:ind w:right="0" w:firstLine="0"/>
        <w:jc w:val="left"/>
      </w:pPr>
      <w:r>
        <w:rPr>
          <w:color w:val="737373"/>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737373"/>
          <w:spacing w:val="0"/>
          <w:w w:val="100"/>
          <w:position w:val="0"/>
          <w:shd w:val="clear" w:color="auto" w:fill="auto"/>
          <w:lang w:val="ru-RU" w:eastAsia="ru-RU" w:bidi="ru-RU"/>
        </w:rPr>
        <w:t>18.11.2022 по 11.02.2024</w:t>
      </w:r>
    </w:p>
    <w:p>
      <w:pPr>
        <w:pStyle w:val="Style17"/>
        <w:keepNext w:val="0"/>
        <w:keepLines w:val="0"/>
        <w:widowControl w:val="0"/>
        <w:shd w:val="clear" w:color="auto" w:fill="auto"/>
        <w:bidi w:val="0"/>
        <w:spacing w:before="0" w:after="415" w:line="240" w:lineRule="auto"/>
        <w:ind w:left="1560" w:right="0" w:firstLine="0"/>
        <w:jc w:val="left"/>
      </w:pPr>
      <w:r>
        <w:drawing>
          <wp:anchor distT="0" distB="0" distL="114300" distR="1918970" simplePos="0" relativeHeight="125829382" behindDoc="0" locked="0" layoutInCell="1" allowOverlap="1">
            <wp:simplePos x="0" y="0"/>
            <wp:positionH relativeFrom="page">
              <wp:posOffset>2809240</wp:posOffset>
            </wp:positionH>
            <wp:positionV relativeFrom="paragraph">
              <wp:posOffset>76200</wp:posOffset>
            </wp:positionV>
            <wp:extent cx="311150" cy="36576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3202305</wp:posOffset>
                </wp:positionH>
                <wp:positionV relativeFrom="paragraph">
                  <wp:posOffset>146050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52.15000000000001pt;margin-top:11.5pt;width:135.59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Д.Е. Кудрявцева</w:t>
      </w:r>
    </w:p>
    <w:p>
      <w:pPr>
        <w:pStyle w:val="Style31"/>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33"/>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Кудрявцева Дарина Евгеньевна</w:t>
      </w:r>
    </w:p>
    <w:p>
      <w:pPr>
        <w:pStyle w:val="Style3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00В725О8388С743ОЕВСА993Е0О503А2В4</w:t>
      </w:r>
      <w:r>
        <w:rPr>
          <w:spacing w:val="0"/>
          <w:w w:val="100"/>
          <w:position w:val="0"/>
          <w:shd w:val="clear" w:color="auto" w:fill="auto"/>
          <w:lang w:val="ru-RU" w:eastAsia="ru-RU" w:bidi="ru-RU"/>
        </w:rPr>
        <w:t>0</w:t>
      </w:r>
    </w:p>
    <w:p>
      <w:pPr>
        <w:pStyle w:val="Style33"/>
        <w:keepNext w:val="0"/>
        <w:keepLines w:val="0"/>
        <w:widowControl w:val="0"/>
        <w:shd w:val="clear" w:color="auto" w:fill="auto"/>
        <w:bidi w:val="0"/>
        <w:spacing w:before="0" w:after="100" w:line="240" w:lineRule="auto"/>
        <w:ind w:right="0" w:firstLine="0"/>
        <w:jc w:val="left"/>
      </w:pPr>
      <w:r>
        <w:rPr>
          <w:color w:val="737373"/>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18.07.2023 </w:t>
      </w:r>
      <w:r>
        <w:rPr>
          <w:color w:val="737373"/>
          <w:spacing w:val="0"/>
          <w:w w:val="100"/>
          <w:position w:val="0"/>
          <w:shd w:val="clear" w:color="auto" w:fill="auto"/>
          <w:lang w:val="ru-RU" w:eastAsia="ru-RU" w:bidi="ru-RU"/>
        </w:rPr>
        <w:t>по 10.10.2024</w:t>
      </w:r>
    </w:p>
    <w:sectPr>
      <w:footnotePr>
        <w:pos w:val="pageBottom"/>
        <w:numFmt w:val="decimal"/>
        <w:numRestart w:val="continuous"/>
      </w:footnotePr>
      <w:type w:val="continuous"/>
      <w:pgSz w:w="11900" w:h="16840"/>
      <w:pgMar w:top="385" w:right="536" w:bottom="1182" w:left="109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10031730</wp:posOffset>
              </wp:positionV>
              <wp:extent cx="707390" cy="100330"/>
              <wp:wrapNone/>
              <wp:docPr id="1" name="Shape 1"/>
              <a:graphic xmlns:a="http://schemas.openxmlformats.org/drawingml/2006/main">
                <a:graphicData uri="http://schemas.microsoft.com/office/word/2010/wordprocessingShape">
                  <wps:wsp>
                    <wps:cNvSpPr txBox="1"/>
                    <wps:spPr>
                      <a:xfrm>
                        <a:ext cx="70739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2023-11041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99999999999999pt;margin-top:789.89999999999998pt;width:55.700000000000003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2023-11041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07390" cy="100330"/>
              <wp:wrapNone/>
              <wp:docPr id="3" name="Shape 3"/>
              <a:graphic xmlns:a="http://schemas.openxmlformats.org/drawingml/2006/main">
                <a:graphicData uri="http://schemas.microsoft.com/office/word/2010/wordprocessingShape">
                  <wps:wsp>
                    <wps:cNvSpPr txBox="1"/>
                    <wps:spPr>
                      <a:xfrm>
                        <a:ext cx="70739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2023-11041</w:t>
                          </w:r>
                        </w:p>
                      </w:txbxContent>
                    </wps:txbx>
                    <wps:bodyPr wrap="none" lIns="0" tIns="0" rIns="0" bIns="0">
                      <a:spAutoFit/>
                    </wps:bodyPr>
                  </wps:wsp>
                </a:graphicData>
              </a:graphic>
            </wp:anchor>
          </w:drawing>
        </mc:Choice>
        <mc:Fallback>
          <w:pict>
            <v:shape id="_x0000_s1029" type="#_x0000_t202" style="position:absolute;margin-left:57.pt;margin-top:776.20000000000005pt;width:55.700000000000003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2023-11041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Arial" w:eastAsia="Arial" w:hAnsi="Arial" w:cs="Arial"/>
      <w:b w:val="0"/>
      <w:bCs w:val="0"/>
      <w:i w:val="0"/>
      <w:iCs w:val="0"/>
      <w:smallCaps w:val="0"/>
      <w:strike w:val="0"/>
      <w:color w:val="4460A3"/>
      <w:sz w:val="72"/>
      <w:szCs w:val="72"/>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11">
    <w:name w:val="Основной текст (5)_"/>
    <w:basedOn w:val="DefaultParagraphFont"/>
    <w:link w:val="Style10"/>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14">
    <w:name w:val="Заголовок №2_"/>
    <w:basedOn w:val="DefaultParagraphFont"/>
    <w:link w:val="Style13"/>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12121"/>
      <w:sz w:val="12"/>
      <w:szCs w:val="12"/>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42"/>
      <w:szCs w:val="42"/>
      <w:u w:val="none"/>
    </w:rPr>
  </w:style>
  <w:style w:type="character" w:customStyle="1" w:styleId="CharStyle27">
    <w:name w:val="Другое_"/>
    <w:basedOn w:val="DefaultParagraphFont"/>
    <w:link w:val="Style26"/>
    <w:rPr>
      <w:rFonts w:ascii="Times New Roman" w:eastAsia="Times New Roman" w:hAnsi="Times New Roman" w:cs="Times New Roman"/>
      <w:b w:val="0"/>
      <w:bCs w:val="0"/>
      <w:i w:val="0"/>
      <w:iCs w:val="0"/>
      <w:smallCaps w:val="0"/>
      <w:strike w:val="0"/>
      <w:sz w:val="26"/>
      <w:szCs w:val="26"/>
      <w:u w:val="none"/>
    </w:rPr>
  </w:style>
  <w:style w:type="character" w:customStyle="1" w:styleId="CharStyle32">
    <w:name w:val="Основной текст (4)_"/>
    <w:basedOn w:val="DefaultParagraphFont"/>
    <w:link w:val="Style31"/>
    <w:rPr>
      <w:rFonts w:ascii="Georgia" w:eastAsia="Georgia" w:hAnsi="Georgia" w:cs="Georgia"/>
      <w:b w:val="0"/>
      <w:bCs w:val="0"/>
      <w:i w:val="0"/>
      <w:iCs w:val="0"/>
      <w:smallCaps w:val="0"/>
      <w:strike w:val="0"/>
      <w:color w:val="EBEBEB"/>
      <w:sz w:val="12"/>
      <w:szCs w:val="12"/>
      <w:u w:val="none"/>
    </w:rPr>
  </w:style>
  <w:style w:type="character" w:customStyle="1" w:styleId="CharStyle34">
    <w:name w:val="Основной текст (2)_"/>
    <w:basedOn w:val="DefaultParagraphFont"/>
    <w:link w:val="Style33"/>
    <w:rPr>
      <w:rFonts w:ascii="Arial" w:eastAsia="Arial" w:hAnsi="Arial" w:cs="Arial"/>
      <w:b w:val="0"/>
      <w:bCs w:val="0"/>
      <w:i w:val="0"/>
      <w:iCs w:val="0"/>
      <w:smallCaps w:val="0"/>
      <w:strike w:val="0"/>
      <w:color w:val="494949"/>
      <w:sz w:val="12"/>
      <w:szCs w:val="12"/>
      <w:u w:val="none"/>
    </w:rPr>
  </w:style>
  <w:style w:type="paragraph" w:customStyle="1" w:styleId="Style2">
    <w:name w:val="Основной текст (6)"/>
    <w:basedOn w:val="Normal"/>
    <w:link w:val="CharStyle3"/>
    <w:pPr>
      <w:widowControl w:val="0"/>
      <w:shd w:val="clear" w:color="auto" w:fill="auto"/>
      <w:spacing w:after="220"/>
      <w:jc w:val="center"/>
    </w:pPr>
    <w:rPr>
      <w:rFonts w:ascii="Arial" w:eastAsia="Arial" w:hAnsi="Arial" w:cs="Arial"/>
      <w:b w:val="0"/>
      <w:bCs w:val="0"/>
      <w:i w:val="0"/>
      <w:iCs w:val="0"/>
      <w:smallCaps w:val="0"/>
      <w:strike w:val="0"/>
      <w:color w:val="4460A3"/>
      <w:sz w:val="72"/>
      <w:szCs w:val="72"/>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after="60" w:line="278"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10">
    <w:name w:val="Основной текст (5)"/>
    <w:basedOn w:val="Normal"/>
    <w:link w:val="CharStyle11"/>
    <w:pPr>
      <w:widowControl w:val="0"/>
      <w:shd w:val="clear" w:color="auto" w:fill="auto"/>
      <w:spacing w:after="420"/>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13">
    <w:name w:val="Заголовок №2"/>
    <w:basedOn w:val="Normal"/>
    <w:link w:val="CharStyle14"/>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22">
    <w:name w:val="Заголовок №1"/>
    <w:basedOn w:val="Normal"/>
    <w:link w:val="CharStyle23"/>
    <w:pPr>
      <w:widowControl w:val="0"/>
      <w:shd w:val="clear" w:color="auto" w:fill="auto"/>
      <w:spacing w:after="260"/>
      <w:outlineLvl w:val="0"/>
    </w:pPr>
    <w:rPr>
      <w:rFonts w:ascii="Arial" w:eastAsia="Arial" w:hAnsi="Arial" w:cs="Arial"/>
      <w:b w:val="0"/>
      <w:bCs w:val="0"/>
      <w:i w:val="0"/>
      <w:iCs w:val="0"/>
      <w:smallCaps w:val="0"/>
      <w:strike w:val="0"/>
      <w:sz w:val="42"/>
      <w:szCs w:val="42"/>
      <w:u w:val="none"/>
    </w:rPr>
  </w:style>
  <w:style w:type="paragraph" w:customStyle="1" w:styleId="Style26">
    <w:name w:val="Другое"/>
    <w:basedOn w:val="Normal"/>
    <w:link w:val="CharStyle27"/>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31">
    <w:name w:val="Основной текст (4)"/>
    <w:basedOn w:val="Normal"/>
    <w:link w:val="CharStyle32"/>
    <w:pPr>
      <w:widowControl w:val="0"/>
      <w:shd w:val="clear" w:color="auto" w:fill="auto"/>
      <w:spacing w:after="100"/>
      <w:ind w:left="4020"/>
    </w:pPr>
    <w:rPr>
      <w:rFonts w:ascii="Georgia" w:eastAsia="Georgia" w:hAnsi="Georgia" w:cs="Georgia"/>
      <w:b w:val="0"/>
      <w:bCs w:val="0"/>
      <w:i w:val="0"/>
      <w:iCs w:val="0"/>
      <w:smallCaps w:val="0"/>
      <w:strike w:val="0"/>
      <w:color w:val="EBEBEB"/>
      <w:sz w:val="12"/>
      <w:szCs w:val="12"/>
      <w:u w:val="none"/>
    </w:rPr>
  </w:style>
  <w:style w:type="paragraph" w:customStyle="1" w:styleId="Style33">
    <w:name w:val="Основной текст (2)"/>
    <w:basedOn w:val="Normal"/>
    <w:link w:val="CharStyle34"/>
    <w:pPr>
      <w:widowControl w:val="0"/>
      <w:shd w:val="clear" w:color="auto" w:fill="auto"/>
      <w:ind w:left="3320"/>
    </w:pPr>
    <w:rPr>
      <w:rFonts w:ascii="Arial" w:eastAsia="Arial" w:hAnsi="Arial" w:cs="Arial"/>
      <w:b w:val="0"/>
      <w:bCs w:val="0"/>
      <w:i w:val="0"/>
      <w:iCs w:val="0"/>
      <w:smallCaps w:val="0"/>
      <w:strike w:val="0"/>
      <w:color w:val="494949"/>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