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779" w:h="427" w:wrap="none" w:hAnchor="page" w:x="2216" w:y="1110"/>
        <w:widowControl w:val="0"/>
        <w:shd w:val="clear" w:color="auto" w:fill="auto"/>
        <w:bidi w:val="0"/>
        <w:spacing w:before="0" w:after="4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ФЕДЕРАЛЬНАЯ</w:t>
      </w:r>
    </w:p>
    <w:p>
      <w:pPr>
        <w:pStyle w:val="Style2"/>
        <w:keepNext w:val="0"/>
        <w:keepLines w:val="0"/>
        <w:framePr w:w="2779" w:h="427" w:wrap="none" w:hAnchor="page" w:x="2216" w:y="111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АНТИМОНОПОЛЬНАЯ СЛУЖБА</w:t>
      </w:r>
    </w:p>
    <w:p>
      <w:pPr>
        <w:pStyle w:val="Style5"/>
        <w:keepNext w:val="0"/>
        <w:keepLines w:val="0"/>
        <w:framePr w:w="3408" w:h="672" w:wrap="none" w:hAnchor="page" w:x="1918" w:y="1681"/>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УПРАВЛЕНИЕ</w:t>
        <w:br/>
        <w:t>Федеральной антимонопольной службы</w:t>
        <w:br/>
        <w:t>по Тверской области</w:t>
      </w:r>
    </w:p>
    <w:p>
      <w:pPr>
        <w:pStyle w:val="Style2"/>
        <w:keepNext w:val="0"/>
        <w:keepLines w:val="0"/>
        <w:framePr w:w="2390" w:h="696" w:wrap="none" w:hAnchor="page" w:x="2408" w:y="2516"/>
        <w:widowControl w:val="0"/>
        <w:shd w:val="clear" w:color="auto" w:fill="auto"/>
        <w:bidi w:val="0"/>
        <w:spacing w:before="0" w:after="0" w:line="310" w:lineRule="auto"/>
        <w:ind w:left="0" w:right="0" w:firstLine="0"/>
        <w:jc w:val="center"/>
      </w:pPr>
      <w:r>
        <w:rPr>
          <w:color w:val="000000"/>
          <w:spacing w:val="0"/>
          <w:w w:val="100"/>
          <w:position w:val="0"/>
          <w:shd w:val="clear" w:color="auto" w:fill="auto"/>
          <w:lang w:val="ru-RU" w:eastAsia="ru-RU" w:bidi="ru-RU"/>
        </w:rPr>
        <w:t>ул. Советская, 23. г. Тверь, 170100</w:t>
        <w:br/>
        <w:t>тел. (4822) 32-08-32</w:t>
        <w:br/>
        <w:t>е-таб: 1о69@Га$.доу.ги</w:t>
      </w:r>
    </w:p>
    <w:p>
      <w:pPr>
        <w:framePr w:w="4061" w:h="475" w:wrap="none" w:hAnchor="page" w:x="1697" w:y="3399"/>
        <w:widowControl w:val="0"/>
      </w:pPr>
    </w:p>
    <w:p>
      <w:pPr>
        <w:pStyle w:val="Style5"/>
        <w:keepNext w:val="0"/>
        <w:keepLines w:val="0"/>
        <w:framePr w:w="3907" w:h="254" w:wrap="none" w:hAnchor="page" w:x="1620" w:y="39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На №  от</w:t>
      </w:r>
    </w:p>
    <w:p>
      <w:pPr>
        <w:pStyle w:val="Style5"/>
        <w:keepNext w:val="0"/>
        <w:keepLines w:val="0"/>
        <w:framePr w:w="2650" w:h="355" w:wrap="none" w:hAnchor="page" w:x="1611" w:y="467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I Решение 069/06/106-1158/2023</w:t>
      </w:r>
    </w:p>
    <w:p>
      <w:pPr>
        <w:pStyle w:val="Style9"/>
        <w:keepNext w:val="0"/>
        <w:keepLines w:val="0"/>
        <w:framePr w:w="4675" w:h="4800" w:wrap="none" w:hAnchor="page" w:x="6680" w:y="899"/>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Заказчик:</w:t>
      </w:r>
    </w:p>
    <w:p>
      <w:pPr>
        <w:pStyle w:val="Style9"/>
        <w:keepNext w:val="0"/>
        <w:keepLines w:val="0"/>
        <w:framePr w:w="4675" w:h="4800" w:wrap="none" w:hAnchor="page" w:x="6680" w:y="899"/>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Государственное бюджетное учреждение здравоохранения Тверской области "Областная клиническая больница"</w:t>
      </w:r>
    </w:p>
    <w:p>
      <w:pPr>
        <w:pStyle w:val="Style9"/>
        <w:keepNext w:val="0"/>
        <w:keepLines w:val="0"/>
        <w:framePr w:w="4675" w:h="4800" w:wrap="none" w:hAnchor="page" w:x="6680" w:y="899"/>
        <w:widowControl w:val="0"/>
        <w:shd w:val="clear" w:color="auto" w:fill="auto"/>
        <w:bidi w:val="0"/>
        <w:spacing w:before="0" w:after="240"/>
        <w:ind w:left="0" w:right="0" w:firstLine="0"/>
        <w:jc w:val="both"/>
      </w:pPr>
      <w:r>
        <w:rPr>
          <w:color w:val="000000"/>
          <w:spacing w:val="0"/>
          <w:w w:val="100"/>
          <w:position w:val="0"/>
          <w:shd w:val="clear" w:color="auto" w:fill="auto"/>
          <w:lang w:val="ru-RU" w:eastAsia="ru-RU" w:bidi="ru-RU"/>
        </w:rPr>
        <w:t>е-тай: зирег444444@уапс1ех.ги (э)</w:t>
      </w:r>
    </w:p>
    <w:p>
      <w:pPr>
        <w:pStyle w:val="Style9"/>
        <w:keepNext w:val="0"/>
        <w:keepLines w:val="0"/>
        <w:framePr w:w="4675" w:h="4800" w:wrap="none" w:hAnchor="page" w:x="6680" w:y="899"/>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u-RU" w:eastAsia="ru-RU" w:bidi="ru-RU"/>
        </w:rPr>
        <w:t>Уполномоченный орган:</w:t>
      </w:r>
    </w:p>
    <w:p>
      <w:pPr>
        <w:pStyle w:val="Style9"/>
        <w:keepNext w:val="0"/>
        <w:keepLines w:val="0"/>
        <w:framePr w:w="4675" w:h="4800" w:wrap="none" w:hAnchor="page" w:x="6680" w:y="899"/>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u-RU" w:eastAsia="ru-RU" w:bidi="ru-RU"/>
        </w:rPr>
        <w:t>Комитет государственного заказа Тверской области</w:t>
      </w:r>
    </w:p>
    <w:p>
      <w:pPr>
        <w:pStyle w:val="Style9"/>
        <w:keepNext w:val="0"/>
        <w:keepLines w:val="0"/>
        <w:framePr w:w="4675" w:h="4800" w:wrap="none" w:hAnchor="page" w:x="6680" w:y="899"/>
        <w:widowControl w:val="0"/>
        <w:shd w:val="clear" w:color="auto" w:fill="auto"/>
        <w:bidi w:val="0"/>
        <w:spacing w:before="0" w:after="240" w:line="264" w:lineRule="auto"/>
        <w:ind w:left="0" w:right="0" w:firstLine="0"/>
        <w:jc w:val="both"/>
      </w:pPr>
      <w:r>
        <w:rPr>
          <w:color w:val="000000"/>
          <w:spacing w:val="0"/>
          <w:w w:val="100"/>
          <w:position w:val="0"/>
          <w:shd w:val="clear" w:color="auto" w:fill="auto"/>
          <w:lang w:val="ru-RU" w:eastAsia="ru-RU" w:bidi="ru-RU"/>
        </w:rPr>
        <w:t>е-тай: кот_§О8хакаха@1уегге§.п1 (э)</w:t>
      </w:r>
    </w:p>
    <w:p>
      <w:pPr>
        <w:pStyle w:val="Style9"/>
        <w:keepNext w:val="0"/>
        <w:keepLines w:val="0"/>
        <w:framePr w:w="4675" w:h="4800" w:wrap="none" w:hAnchor="page" w:x="6680" w:y="899"/>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Заявитель:</w:t>
      </w:r>
    </w:p>
    <w:p>
      <w:pPr>
        <w:pStyle w:val="Style9"/>
        <w:keepNext w:val="0"/>
        <w:keepLines w:val="0"/>
        <w:framePr w:w="4675" w:h="4800" w:wrap="none" w:hAnchor="page" w:x="6680" w:y="899"/>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ООО «Алькорфарм»</w:t>
      </w:r>
    </w:p>
    <w:p>
      <w:pPr>
        <w:pStyle w:val="Style9"/>
        <w:keepNext w:val="0"/>
        <w:keepLines w:val="0"/>
        <w:framePr w:w="4675" w:h="4800" w:wrap="none" w:hAnchor="page" w:x="6680" w:y="899"/>
        <w:widowControl w:val="0"/>
        <w:shd w:val="clear" w:color="auto" w:fill="auto"/>
        <w:bidi w:val="0"/>
        <w:spacing w:before="0" w:after="240"/>
        <w:ind w:left="0" w:right="0" w:firstLine="0"/>
        <w:jc w:val="both"/>
      </w:pPr>
      <w:r>
        <w:rPr>
          <w:color w:val="000000"/>
          <w:spacing w:val="0"/>
          <w:w w:val="100"/>
          <w:position w:val="0"/>
          <w:shd w:val="clear" w:color="auto" w:fill="auto"/>
          <w:lang w:val="ru-RU" w:eastAsia="ru-RU" w:bidi="ru-RU"/>
        </w:rPr>
        <w:t>е-тай: а1когГагт@§тай.сот (э)</w:t>
      </w:r>
    </w:p>
    <w:p>
      <w:pPr>
        <w:pStyle w:val="Style9"/>
        <w:keepNext w:val="0"/>
        <w:keepLines w:val="0"/>
        <w:framePr w:w="4675" w:h="4800" w:wrap="none" w:hAnchor="page" w:x="6680" w:y="899"/>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Оператор электронной площадки:</w:t>
      </w:r>
    </w:p>
    <w:p>
      <w:pPr>
        <w:pStyle w:val="Style9"/>
        <w:keepNext w:val="0"/>
        <w:keepLines w:val="0"/>
        <w:framePr w:w="4675" w:h="4800" w:wrap="none" w:hAnchor="page" w:x="6680" w:y="899"/>
        <w:widowControl w:val="0"/>
        <w:shd w:val="clear" w:color="auto" w:fill="auto"/>
        <w:bidi w:val="0"/>
        <w:spacing w:before="0" w:after="240"/>
        <w:ind w:left="0" w:right="0" w:firstLine="0"/>
        <w:jc w:val="both"/>
      </w:pPr>
      <w:r>
        <w:rPr>
          <w:color w:val="000000"/>
          <w:spacing w:val="0"/>
          <w:w w:val="100"/>
          <w:position w:val="0"/>
          <w:shd w:val="clear" w:color="auto" w:fill="auto"/>
          <w:lang w:val="ru-RU" w:eastAsia="ru-RU" w:bidi="ru-RU"/>
        </w:rPr>
        <w:t>ООО «РТС-тендер» е-тай: ко@г18-1епс1ег.ги (э)</w:t>
      </w:r>
    </w:p>
    <w:p>
      <w:pPr>
        <w:widowControl w:val="0"/>
        <w:spacing w:line="360" w:lineRule="exact"/>
      </w:pPr>
      <w:r>
        <w:drawing>
          <wp:anchor distT="0" distB="0" distL="0" distR="0" simplePos="0" relativeHeight="62914690" behindDoc="1" locked="0" layoutInCell="1" allowOverlap="1">
            <wp:simplePos x="0" y="0"/>
            <wp:positionH relativeFrom="page">
              <wp:posOffset>2046605</wp:posOffset>
            </wp:positionH>
            <wp:positionV relativeFrom="margin">
              <wp:posOffset>0</wp:posOffset>
            </wp:positionV>
            <wp:extent cx="506095" cy="6032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06095" cy="6032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57"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586" w:right="412" w:bottom="1523" w:left="1600" w:header="0" w:footer="3" w:gutter="0"/>
          <w:pgNumType w:start="1"/>
          <w:cols w:space="720"/>
          <w:noEndnote/>
          <w:titlePg/>
          <w:rtlGutter w:val="0"/>
          <w:docGrid w:linePitch="360"/>
        </w:sectPr>
      </w:pP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923" w:right="0" w:bottom="1591" w:left="0" w:header="0" w:footer="3" w:gutter="0"/>
          <w:cols w:space="720"/>
          <w:noEndnote/>
          <w:rtlGutter w:val="0"/>
          <w:docGrid w:linePitch="360"/>
        </w:sectPr>
      </w:pPr>
    </w:p>
    <w:p>
      <w:pPr>
        <w:pStyle w:val="Style9"/>
        <w:keepNext w:val="0"/>
        <w:keepLines w:val="0"/>
        <w:widowControl w:val="0"/>
        <w:shd w:val="clear" w:color="auto" w:fill="auto"/>
        <w:bidi w:val="0"/>
        <w:spacing w:before="0" w:after="240"/>
        <w:ind w:left="0" w:right="0" w:firstLine="0"/>
        <w:jc w:val="center"/>
      </w:pPr>
      <w:r>
        <w:rPr>
          <w:b/>
          <w:bCs/>
          <w:color w:val="000000"/>
          <w:spacing w:val="0"/>
          <w:w w:val="100"/>
          <w:position w:val="0"/>
          <w:shd w:val="clear" w:color="auto" w:fill="auto"/>
          <w:lang w:val="ru-RU" w:eastAsia="ru-RU" w:bidi="ru-RU"/>
        </w:rPr>
        <w:t>РЕШЕНИЕ</w:t>
        <w:br/>
        <w:t>по делу № 069/06/106-1158/2023 о рассмотрении жалобы на нарушение</w:t>
        <w:br/>
        <w:t>законодательства о контрактной системе</w:t>
      </w:r>
    </w:p>
    <w:p>
      <w:pPr>
        <w:pStyle w:val="Style9"/>
        <w:keepNext w:val="0"/>
        <w:keepLines w:val="0"/>
        <w:widowControl w:val="0"/>
        <w:shd w:val="clear" w:color="auto" w:fill="auto"/>
        <w:bidi w:val="0"/>
        <w:spacing w:before="0" w:after="0" w:line="254" w:lineRule="auto"/>
        <w:ind w:left="0" w:right="0" w:firstLine="0"/>
        <w:jc w:val="left"/>
      </w:pPr>
      <w:r>
        <w:rPr>
          <w:color w:val="000000"/>
          <w:spacing w:val="0"/>
          <w:w w:val="100"/>
          <w:position w:val="0"/>
          <w:shd w:val="clear" w:color="auto" w:fill="auto"/>
          <w:lang w:val="ru-RU" w:eastAsia="ru-RU" w:bidi="ru-RU"/>
        </w:rPr>
        <w:t>Резолютивная часть решения оглашена «12» декабря 2023 г.</w:t>
      </w:r>
    </w:p>
    <w:p>
      <w:pPr>
        <w:pStyle w:val="Style9"/>
        <w:keepNext w:val="0"/>
        <w:keepLines w:val="0"/>
        <w:widowControl w:val="0"/>
        <w:shd w:val="clear" w:color="auto" w:fill="auto"/>
        <w:bidi w:val="0"/>
        <w:spacing w:before="0" w:after="240" w:line="254" w:lineRule="auto"/>
        <w:ind w:left="0" w:right="0" w:firstLine="0"/>
        <w:jc w:val="left"/>
      </w:pPr>
      <w:r>
        <w:rPr>
          <w:color w:val="000000"/>
          <w:spacing w:val="0"/>
          <w:w w:val="100"/>
          <w:position w:val="0"/>
          <w:shd w:val="clear" w:color="auto" w:fill="auto"/>
          <w:lang w:val="ru-RU" w:eastAsia="ru-RU" w:bidi="ru-RU"/>
        </w:rPr>
        <w:t>В полном объеме решение изготовлено «15» декабря 2023 г. г. Тверь</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председатель Комиссии: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Ключникова Е.В. - заместитель руководителя управления - начальник отдела контроля закупок,</w:t>
      </w:r>
    </w:p>
    <w:p>
      <w:pPr>
        <w:pStyle w:val="Style9"/>
        <w:keepNext w:val="0"/>
        <w:keepLines w:val="0"/>
        <w:widowControl w:val="0"/>
        <w:shd w:val="clear" w:color="auto" w:fill="auto"/>
        <w:bidi w:val="0"/>
        <w:spacing w:before="0" w:after="0"/>
        <w:ind w:left="0" w:right="0" w:firstLine="68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0"/>
        <w:ind w:left="0" w:right="0" w:firstLine="680"/>
        <w:jc w:val="left"/>
      </w:pPr>
      <w:r>
        <w:rPr>
          <w:color w:val="000000"/>
          <w:spacing w:val="0"/>
          <w:w w:val="100"/>
          <w:position w:val="0"/>
          <w:shd w:val="clear" w:color="auto" w:fill="auto"/>
          <w:lang w:val="ru-RU" w:eastAsia="ru-RU" w:bidi="ru-RU"/>
        </w:rPr>
        <w:t>Винницкая П.Д. - главный специалист-эксперт отдела контроля закупок,</w:t>
      </w:r>
    </w:p>
    <w:p>
      <w:pPr>
        <w:pStyle w:val="Style9"/>
        <w:keepNext w:val="0"/>
        <w:keepLines w:val="0"/>
        <w:widowControl w:val="0"/>
        <w:shd w:val="clear" w:color="auto" w:fill="auto"/>
        <w:bidi w:val="0"/>
        <w:spacing w:before="0" w:after="0"/>
        <w:ind w:left="680" w:right="0" w:firstLine="20"/>
        <w:jc w:val="left"/>
      </w:pPr>
      <w:r>
        <w:rPr>
          <w:color w:val="000000"/>
          <w:spacing w:val="0"/>
          <w:w w:val="100"/>
          <w:position w:val="0"/>
          <w:shd w:val="clear" w:color="auto" w:fill="auto"/>
          <w:lang w:val="ru-RU" w:eastAsia="ru-RU" w:bidi="ru-RU"/>
        </w:rPr>
        <w:t>Быков К.О. - ведущий специалист-эксперт отдела контроля закупок, при участии посредством видеоконференц-связи представителей: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Государственного бюджетного учреждения здравоохранения Тверской области "Областная клиническая больница" (далее - Заказчик): Максимовой Н.В. (по доверенности);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Комитета государственного заказа Тверской области (далее - Уполномоченный орган): Заикиной Н.М. (по доверенности);</w:t>
      </w:r>
    </w:p>
    <w:p>
      <w:pPr>
        <w:pStyle w:val="Style9"/>
        <w:keepNext w:val="0"/>
        <w:keepLines w:val="0"/>
        <w:widowControl w:val="0"/>
        <w:shd w:val="clear" w:color="auto" w:fill="auto"/>
        <w:bidi w:val="0"/>
        <w:spacing w:before="0" w:after="400"/>
        <w:ind w:left="0" w:right="0" w:firstLine="700"/>
        <w:jc w:val="both"/>
      </w:pPr>
      <w:r>
        <w:rPr>
          <w:color w:val="000000"/>
          <w:spacing w:val="0"/>
          <w:w w:val="100"/>
          <w:position w:val="0"/>
          <w:shd w:val="clear" w:color="auto" w:fill="auto"/>
          <w:lang w:val="ru-RU" w:eastAsia="ru-RU" w:bidi="ru-RU"/>
        </w:rPr>
        <w:t>ООО «Алькорфарм» (далее - Заявитель): Тимирбулатова М.А. (по решению), рассмотрев посредством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w:t>
      </w:r>
    </w:p>
    <w:p>
      <w:pPr>
        <w:pStyle w:val="Style17"/>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11111111111111111III1111</w:t>
      </w:r>
      <w:bookmarkEnd w:id="0"/>
    </w:p>
    <w:p>
      <w:pPr>
        <w:pStyle w:val="Style9"/>
        <w:keepNext w:val="0"/>
        <w:keepLines w:val="0"/>
        <w:widowControl w:val="0"/>
        <w:shd w:val="clear" w:color="auto" w:fill="auto"/>
        <w:bidi w:val="0"/>
        <w:spacing w:before="0" w:after="240"/>
        <w:ind w:left="0" w:right="0" w:firstLine="0"/>
        <w:jc w:val="both"/>
      </w:pPr>
      <w:r>
        <w:rPr>
          <w:color w:val="000000"/>
          <w:spacing w:val="0"/>
          <w:w w:val="100"/>
          <w:position w:val="0"/>
          <w:shd w:val="clear" w:color="auto" w:fill="auto"/>
          <w:lang w:val="ru-RU" w:eastAsia="ru-RU" w:bidi="ru-RU"/>
        </w:rPr>
        <w:t>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9"/>
        <w:keepNext/>
        <w:keepLines/>
        <w:widowControl w:val="0"/>
        <w:shd w:val="clear" w:color="auto" w:fill="auto"/>
        <w:bidi w:val="0"/>
        <w:spacing w:before="0" w:after="240" w:line="252"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Тверское УФАС России 06.12.2023 поступила жалоба Заявителя на действия комиссии по осуществлению закупок при проведении электронного аукциона на поставку лекарственных препаратов для медицинского применения (Норэпинефрин) на 2024 г. (извещение от 23.11.2023 № 0136500001123007311 на официальном сайте Единой информационной системы в сфере закупок - \уу/у/.хакирк1.§оу.ш) (далее - Аукцион).</w:t>
      </w:r>
    </w:p>
    <w:p>
      <w:pPr>
        <w:pStyle w:val="Style9"/>
        <w:keepNext w:val="0"/>
        <w:keepLines w:val="0"/>
        <w:widowControl w:val="0"/>
        <w:shd w:val="clear" w:color="auto" w:fill="auto"/>
        <w:bidi w:val="0"/>
        <w:spacing w:before="0" w:after="240" w:line="254" w:lineRule="auto"/>
        <w:ind w:left="0" w:right="0" w:firstLine="700"/>
        <w:jc w:val="both"/>
      </w:pPr>
      <w:r>
        <w:rPr>
          <w:color w:val="000000"/>
          <w:spacing w:val="0"/>
          <w:w w:val="100"/>
          <w:position w:val="0"/>
          <w:shd w:val="clear" w:color="auto" w:fill="auto"/>
          <w:lang w:val="ru-RU" w:eastAsia="ru-RU" w:bidi="ru-RU"/>
        </w:rPr>
        <w:t>Согласно доводу жалобы, заявка победителя аукциона (заявка с идентификационным номером №115467935) не содержит предложение о поставке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не включены в государственный реестр лекарственных средств, у комиссии по осуществлению закупок отсутствовали основания для применения при оценке заявок участников закупки пункта 1.4. Приказа Министерства финансов Российской Федерации от 04 июня 2018 г. № 126н. Победителем аукциона должен быть признан Заявитель (заявка с идентификационным номером № 115468753),</w:t>
      </w:r>
    </w:p>
    <w:p>
      <w:pPr>
        <w:pStyle w:val="Style9"/>
        <w:keepNext w:val="0"/>
        <w:keepLines w:val="0"/>
        <w:widowControl w:val="0"/>
        <w:shd w:val="clear" w:color="auto" w:fill="auto"/>
        <w:bidi w:val="0"/>
        <w:spacing w:before="0" w:after="240" w:line="254" w:lineRule="auto"/>
        <w:ind w:left="0" w:right="0" w:firstLine="700"/>
        <w:jc w:val="both"/>
      </w:pPr>
      <w:r>
        <w:rPr>
          <w:color w:val="000000"/>
          <w:spacing w:val="0"/>
          <w:w w:val="100"/>
          <w:position w:val="0"/>
          <w:shd w:val="clear" w:color="auto" w:fill="auto"/>
          <w:lang w:val="ru-RU" w:eastAsia="ru-RU" w:bidi="ru-RU"/>
        </w:rPr>
        <w:t>Представители Заказчика и Уполномоченного органа с доводами жалобы согласились, представили письменные пояснения.</w:t>
      </w:r>
    </w:p>
    <w:p>
      <w:pPr>
        <w:pStyle w:val="Style9"/>
        <w:keepNext w:val="0"/>
        <w:keepLines w:val="0"/>
        <w:widowControl w:val="0"/>
        <w:shd w:val="clear" w:color="auto" w:fill="auto"/>
        <w:bidi w:val="0"/>
        <w:spacing w:before="0" w:after="240"/>
        <w:ind w:left="0" w:right="0" w:firstLine="700"/>
        <w:jc w:val="both"/>
      </w:pPr>
      <w:r>
        <w:rPr>
          <w:color w:val="000000"/>
          <w:spacing w:val="0"/>
          <w:w w:val="100"/>
          <w:position w:val="0"/>
          <w:shd w:val="clear" w:color="auto" w:fill="auto"/>
          <w:lang w:val="ru-RU" w:eastAsia="ru-RU" w:bidi="ru-RU"/>
        </w:rPr>
        <w:t>Комиссия Тверского УФАС России, рассмотрев материалы дела, заслушав представителей лиц, участвовавших в заседании, приходит к следующим выводам.</w:t>
      </w:r>
    </w:p>
    <w:p>
      <w:pPr>
        <w:pStyle w:val="Style9"/>
        <w:keepNext w:val="0"/>
        <w:keepLines w:val="0"/>
        <w:widowControl w:val="0"/>
        <w:shd w:val="clear" w:color="auto" w:fill="auto"/>
        <w:bidi w:val="0"/>
        <w:spacing w:before="0" w:after="240" w:line="264" w:lineRule="auto"/>
        <w:ind w:left="0" w:right="0" w:firstLine="700"/>
        <w:jc w:val="both"/>
      </w:pPr>
      <w:r>
        <w:rPr>
          <w:color w:val="000000"/>
          <w:spacing w:val="0"/>
          <w:w w:val="100"/>
          <w:position w:val="0"/>
          <w:shd w:val="clear" w:color="auto" w:fill="auto"/>
          <w:lang w:val="ru-RU" w:eastAsia="ru-RU" w:bidi="ru-RU"/>
        </w:rPr>
        <w:t>В соответствии с извещением о проведении Аукциона составленным при осуществлении закупки:</w:t>
      </w:r>
    </w:p>
    <w:p>
      <w:pPr>
        <w:pStyle w:val="Style9"/>
        <w:keepNext w:val="0"/>
        <w:keepLines w:val="0"/>
        <w:widowControl w:val="0"/>
        <w:numPr>
          <w:ilvl w:val="0"/>
          <w:numId w:val="1"/>
        </w:numPr>
        <w:shd w:val="clear" w:color="auto" w:fill="auto"/>
        <w:tabs>
          <w:tab w:pos="1359" w:val="left"/>
        </w:tabs>
        <w:bidi w:val="0"/>
        <w:spacing w:before="0" w:after="0"/>
        <w:ind w:left="0" w:right="0" w:firstLine="700"/>
        <w:jc w:val="both"/>
      </w:pPr>
      <w:r>
        <w:rPr>
          <w:color w:val="000000"/>
          <w:spacing w:val="0"/>
          <w:w w:val="100"/>
          <w:position w:val="0"/>
          <w:shd w:val="clear" w:color="auto" w:fill="auto"/>
          <w:lang w:val="ru-RU" w:eastAsia="ru-RU" w:bidi="ru-RU"/>
        </w:rPr>
        <w:t>извещение о проведении Аукциона размещено на Официальном сайте 23.11.2023;</w:t>
      </w:r>
    </w:p>
    <w:p>
      <w:pPr>
        <w:pStyle w:val="Style9"/>
        <w:keepNext w:val="0"/>
        <w:keepLines w:val="0"/>
        <w:widowControl w:val="0"/>
        <w:numPr>
          <w:ilvl w:val="0"/>
          <w:numId w:val="1"/>
        </w:numPr>
        <w:shd w:val="clear" w:color="auto" w:fill="auto"/>
        <w:tabs>
          <w:tab w:pos="1359" w:val="left"/>
        </w:tabs>
        <w:bidi w:val="0"/>
        <w:spacing w:before="0" w:after="0"/>
        <w:ind w:left="0" w:right="0" w:firstLine="700"/>
        <w:jc w:val="both"/>
      </w:pPr>
      <w:r>
        <w:rPr>
          <w:color w:val="000000"/>
          <w:spacing w:val="0"/>
          <w:w w:val="100"/>
          <w:position w:val="0"/>
          <w:shd w:val="clear" w:color="auto" w:fill="auto"/>
          <w:lang w:val="ru-RU" w:eastAsia="ru-RU" w:bidi="ru-RU"/>
        </w:rPr>
        <w:t>начальная (максимальная) цена контракта - 1 011 996,80 рублей;</w:t>
      </w:r>
    </w:p>
    <w:p>
      <w:pPr>
        <w:pStyle w:val="Style9"/>
        <w:keepNext w:val="0"/>
        <w:keepLines w:val="0"/>
        <w:widowControl w:val="0"/>
        <w:numPr>
          <w:ilvl w:val="0"/>
          <w:numId w:val="1"/>
        </w:numPr>
        <w:shd w:val="clear" w:color="auto" w:fill="auto"/>
        <w:tabs>
          <w:tab w:pos="1359" w:val="left"/>
        </w:tabs>
        <w:bidi w:val="0"/>
        <w:spacing w:before="0" w:after="0"/>
        <w:ind w:left="0" w:right="0" w:firstLine="700"/>
        <w:jc w:val="both"/>
      </w:pPr>
      <w:r>
        <w:rPr>
          <w:color w:val="000000"/>
          <w:spacing w:val="0"/>
          <w:w w:val="100"/>
          <w:position w:val="0"/>
          <w:shd w:val="clear" w:color="auto" w:fill="auto"/>
          <w:lang w:val="ru-RU" w:eastAsia="ru-RU" w:bidi="ru-RU"/>
        </w:rPr>
        <w:t>дата окончания подачи заявок - 01.12.2023;</w:t>
      </w:r>
    </w:p>
    <w:p>
      <w:pPr>
        <w:pStyle w:val="Style9"/>
        <w:keepNext w:val="0"/>
        <w:keepLines w:val="0"/>
        <w:widowControl w:val="0"/>
        <w:numPr>
          <w:ilvl w:val="0"/>
          <w:numId w:val="1"/>
        </w:numPr>
        <w:shd w:val="clear" w:color="auto" w:fill="auto"/>
        <w:tabs>
          <w:tab w:pos="1359" w:val="left"/>
        </w:tabs>
        <w:bidi w:val="0"/>
        <w:spacing w:before="0" w:after="0"/>
        <w:ind w:left="0" w:right="0" w:firstLine="700"/>
        <w:jc w:val="both"/>
      </w:pPr>
      <w:r>
        <w:rPr>
          <w:color w:val="000000"/>
          <w:spacing w:val="0"/>
          <w:w w:val="100"/>
          <w:position w:val="0"/>
          <w:shd w:val="clear" w:color="auto" w:fill="auto"/>
          <w:lang w:val="ru-RU" w:eastAsia="ru-RU" w:bidi="ru-RU"/>
        </w:rPr>
        <w:t>дата проведения Аукциона - 01.12.2023, подано 3 заявки;</w:t>
      </w:r>
    </w:p>
    <w:p>
      <w:pPr>
        <w:pStyle w:val="Style9"/>
        <w:keepNext w:val="0"/>
        <w:keepLines w:val="0"/>
        <w:widowControl w:val="0"/>
        <w:numPr>
          <w:ilvl w:val="0"/>
          <w:numId w:val="1"/>
        </w:numPr>
        <w:shd w:val="clear" w:color="auto" w:fill="auto"/>
        <w:tabs>
          <w:tab w:pos="1359" w:val="left"/>
        </w:tabs>
        <w:bidi w:val="0"/>
        <w:spacing w:before="0" w:after="240"/>
        <w:ind w:left="0" w:right="0" w:firstLine="70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- 01.12.2023, две заявки признаны соответствующими требованиям Аукциона, определен победитель.</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Требования к содержанию извещения об осуществлении закупки установлены статьей 42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Так, согласно пункту 3 части 1 статьи 42 Закона о контрактной системе извещение об осуществлении закупки должно содержать, в том числе, электронный документ, содержащий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Общие требования к содержанию состава заявок для участия в конкурентном способе определение поставщика установлены статьей 43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В соответствие с пунктом 5 части 1 статьи 43 Закона о контрактной системе для участия в конкурентном способе заявка на участие в закупке должна содержать информацию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w:t>
      </w:r>
      <w:r>
        <w:rPr>
          <w:color w:val="000000"/>
          <w:spacing w:val="0"/>
          <w:w w:val="100"/>
          <w:position w:val="0"/>
          <w:shd w:val="clear" w:color="auto" w:fill="auto"/>
          <w:lang w:val="ru-RU" w:eastAsia="ru-RU" w:bidi="ru-RU"/>
        </w:rPr>
        <w:t>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определены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Правительства № 1289).</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Пунктом 1 Постановления Правительства № 1289 определено,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9"/>
        <w:keepNext w:val="0"/>
        <w:keepLines w:val="0"/>
        <w:widowControl w:val="0"/>
        <w:numPr>
          <w:ilvl w:val="0"/>
          <w:numId w:val="3"/>
        </w:numPr>
        <w:shd w:val="clear" w:color="auto" w:fill="auto"/>
        <w:tabs>
          <w:tab w:pos="889" w:val="left"/>
        </w:tabs>
        <w:bidi w:val="0"/>
        <w:spacing w:before="0" w:after="0"/>
        <w:ind w:left="0" w:right="0" w:firstLine="72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9"/>
        <w:keepNext w:val="0"/>
        <w:keepLines w:val="0"/>
        <w:widowControl w:val="0"/>
        <w:numPr>
          <w:ilvl w:val="0"/>
          <w:numId w:val="3"/>
        </w:numPr>
        <w:shd w:val="clear" w:color="auto" w:fill="auto"/>
        <w:tabs>
          <w:tab w:pos="941" w:val="left"/>
        </w:tabs>
        <w:bidi w:val="0"/>
        <w:spacing w:before="0" w:after="0"/>
        <w:ind w:left="0" w:right="0" w:firstLine="70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Пунктом 2 Постановления Правительства № 1289 установлено, что подтверждением страны происхождения лекарственного препарата является один из следующих документов:</w:t>
      </w:r>
    </w:p>
    <w:p>
      <w:pPr>
        <w:pStyle w:val="Style9"/>
        <w:keepNext w:val="0"/>
        <w:keepLines w:val="0"/>
        <w:widowControl w:val="0"/>
        <w:numPr>
          <w:ilvl w:val="0"/>
          <w:numId w:val="5"/>
        </w:numPr>
        <w:shd w:val="clear" w:color="auto" w:fill="auto"/>
        <w:tabs>
          <w:tab w:pos="1114" w:val="left"/>
        </w:tabs>
        <w:bidi w:val="0"/>
        <w:spacing w:before="0" w:after="0"/>
        <w:ind w:left="0" w:right="0" w:firstLine="70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9"/>
        <w:keepNext w:val="0"/>
        <w:keepLines w:val="0"/>
        <w:widowControl w:val="0"/>
        <w:numPr>
          <w:ilvl w:val="0"/>
          <w:numId w:val="5"/>
        </w:numPr>
        <w:shd w:val="clear" w:color="auto" w:fill="auto"/>
        <w:tabs>
          <w:tab w:pos="1114" w:val="left"/>
        </w:tabs>
        <w:bidi w:val="0"/>
        <w:spacing w:before="0" w:after="0"/>
        <w:ind w:left="0" w:right="0" w:firstLine="700"/>
        <w:jc w:val="both"/>
      </w:pPr>
      <w:r>
        <w:rPr>
          <w:color w:val="000000"/>
          <w:spacing w:val="0"/>
          <w:w w:val="100"/>
          <w:position w:val="0"/>
          <w:shd w:val="clear" w:color="auto" w:fill="auto"/>
          <w:lang w:val="ru-RU" w:eastAsia="ru-RU" w:bidi="ru-RU"/>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pPr>
        <w:pStyle w:val="Style9"/>
        <w:keepNext w:val="0"/>
        <w:keepLines w:val="0"/>
        <w:widowControl w:val="0"/>
        <w:numPr>
          <w:ilvl w:val="0"/>
          <w:numId w:val="5"/>
        </w:numPr>
        <w:shd w:val="clear" w:color="auto" w:fill="auto"/>
        <w:tabs>
          <w:tab w:pos="1114" w:val="left"/>
        </w:tabs>
        <w:bidi w:val="0"/>
        <w:spacing w:before="0" w:after="0"/>
        <w:ind w:left="0" w:right="0" w:firstLine="70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Постановлением Правительства № 1289 установлен перечень отдельных видов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(далее - Перечень).</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Согласно п. п. "а" пункта 3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о контрактной системе.</w:t>
      </w:r>
    </w:p>
    <w:p>
      <w:pPr>
        <w:pStyle w:val="Style9"/>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В соответствии с пунктами 1-8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7"/>
        </w:numPr>
        <w:shd w:val="clear" w:color="auto" w:fill="auto"/>
        <w:tabs>
          <w:tab w:pos="1004" w:val="left"/>
        </w:tabs>
        <w:bidi w:val="0"/>
        <w:spacing w:before="0" w:after="0"/>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7"/>
        </w:numPr>
        <w:shd w:val="clear" w:color="auto" w:fill="auto"/>
        <w:tabs>
          <w:tab w:pos="999" w:val="left"/>
        </w:tabs>
        <w:bidi w:val="0"/>
        <w:spacing w:before="0" w:after="0"/>
        <w:ind w:left="0" w:right="0" w:firstLine="70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w:t>
      </w:r>
      <w:r>
        <w:rPr>
          <w:color w:val="000000"/>
          <w:spacing w:val="0"/>
          <w:w w:val="100"/>
          <w:position w:val="0"/>
          <w:shd w:val="clear" w:color="auto" w:fill="auto"/>
          <w:lang w:val="ru-RU" w:eastAsia="ru-RU" w:bidi="ru-RU"/>
        </w:rPr>
        <w:t>требованиям, установленным в извещении об осуществлении закупки;</w:t>
      </w:r>
    </w:p>
    <w:p>
      <w:pPr>
        <w:pStyle w:val="Style9"/>
        <w:keepNext w:val="0"/>
        <w:keepLines w:val="0"/>
        <w:widowControl w:val="0"/>
        <w:numPr>
          <w:ilvl w:val="0"/>
          <w:numId w:val="7"/>
        </w:numPr>
        <w:shd w:val="clear" w:color="auto" w:fill="auto"/>
        <w:tabs>
          <w:tab w:pos="1004" w:val="left"/>
        </w:tabs>
        <w:bidi w:val="0"/>
        <w:spacing w:before="0" w:after="0"/>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9"/>
        <w:keepNext w:val="0"/>
        <w:keepLines w:val="0"/>
        <w:widowControl w:val="0"/>
        <w:numPr>
          <w:ilvl w:val="0"/>
          <w:numId w:val="7"/>
        </w:numPr>
        <w:shd w:val="clear" w:color="auto" w:fill="auto"/>
        <w:tabs>
          <w:tab w:pos="1004" w:val="left"/>
        </w:tabs>
        <w:bidi w:val="0"/>
        <w:spacing w:before="0" w:after="0"/>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9"/>
        <w:keepNext w:val="0"/>
        <w:keepLines w:val="0"/>
        <w:widowControl w:val="0"/>
        <w:numPr>
          <w:ilvl w:val="0"/>
          <w:numId w:val="7"/>
        </w:numPr>
        <w:shd w:val="clear" w:color="auto" w:fill="auto"/>
        <w:tabs>
          <w:tab w:pos="1004" w:val="left"/>
        </w:tabs>
        <w:bidi w:val="0"/>
        <w:spacing w:before="0" w:after="0"/>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keepNext w:val="0"/>
        <w:keepLines w:val="0"/>
        <w:widowControl w:val="0"/>
        <w:numPr>
          <w:ilvl w:val="0"/>
          <w:numId w:val="7"/>
        </w:numPr>
        <w:shd w:val="clear" w:color="auto" w:fill="auto"/>
        <w:tabs>
          <w:tab w:pos="1004" w:val="left"/>
        </w:tabs>
        <w:bidi w:val="0"/>
        <w:spacing w:before="0" w:after="0"/>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Я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keepNext w:val="0"/>
        <w:keepLines w:val="0"/>
        <w:widowControl w:val="0"/>
        <w:numPr>
          <w:ilvl w:val="0"/>
          <w:numId w:val="7"/>
        </w:numPr>
        <w:shd w:val="clear" w:color="auto" w:fill="auto"/>
        <w:tabs>
          <w:tab w:pos="1690" w:val="left"/>
        </w:tabs>
        <w:bidi w:val="0"/>
        <w:spacing w:before="0" w:after="0"/>
        <w:ind w:left="0" w:right="0" w:firstLine="72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9"/>
        <w:keepNext w:val="0"/>
        <w:keepLines w:val="0"/>
        <w:widowControl w:val="0"/>
        <w:numPr>
          <w:ilvl w:val="0"/>
          <w:numId w:val="7"/>
        </w:numPr>
        <w:shd w:val="clear" w:color="auto" w:fill="auto"/>
        <w:tabs>
          <w:tab w:pos="1690" w:val="left"/>
        </w:tabs>
        <w:bidi w:val="0"/>
        <w:spacing w:before="0" w:after="0"/>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Согласно пункту 1(1) Постановления Правительства № 1289 в случае если после отклонения заявок (окончательных предложений) в порядке, установленном пунктом 1 настоящего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 xml:space="preserve">Подтверждением соответствия лекарственного препарата и фармацевтической субстанции требованиям, указанным в пункте 1(1) настоящего постановления,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 (пункт 1(2) Постановления </w:t>
      </w:r>
      <w:r>
        <w:rPr>
          <w:color w:val="000000"/>
          <w:spacing w:val="0"/>
          <w:w w:val="100"/>
          <w:position w:val="0"/>
          <w:shd w:val="clear" w:color="auto" w:fill="auto"/>
          <w:lang w:val="ru-RU" w:eastAsia="ru-RU" w:bidi="ru-RU"/>
        </w:rPr>
        <w:t>Правительства № 1289).</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Извещении в соответствии с Приказом № 126н установлены условия допуска товаров, происход</w:t>
      </w:r>
      <w:r>
        <w:rPr>
          <w:color w:val="000000"/>
          <w:spacing w:val="0"/>
          <w:w w:val="100"/>
          <w:position w:val="0"/>
          <w:u w:val="single"/>
          <w:shd w:val="clear" w:color="auto" w:fill="auto"/>
          <w:lang w:val="ru-RU" w:eastAsia="ru-RU" w:bidi="ru-RU"/>
        </w:rPr>
        <w:t>ящи</w:t>
      </w:r>
      <w:r>
        <w:rPr>
          <w:color w:val="000000"/>
          <w:spacing w:val="0"/>
          <w:w w:val="100"/>
          <w:position w:val="0"/>
          <w:shd w:val="clear" w:color="auto" w:fill="auto"/>
          <w:lang w:val="ru-RU" w:eastAsia="ru-RU" w:bidi="ru-RU"/>
        </w:rPr>
        <w:t>х из иностранного государства или группы иностранных государств.</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В силу пункта 1.4 Приказа № 126н в случае отклонения заявок (окончательных предложений) в соответствии с пунктом 1 Постановления Правительства № 1289, контракт заключается с участником закупки по предложенной им цене контракта при совокупности следующих условий:</w:t>
      </w:r>
    </w:p>
    <w:p>
      <w:pPr>
        <w:pStyle w:val="Style9"/>
        <w:keepNext w:val="0"/>
        <w:keepLines w:val="0"/>
        <w:widowControl w:val="0"/>
        <w:numPr>
          <w:ilvl w:val="0"/>
          <w:numId w:val="9"/>
        </w:numPr>
        <w:shd w:val="clear" w:color="auto" w:fill="auto"/>
        <w:tabs>
          <w:tab w:pos="99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заявка (окончательное предложение)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9"/>
        <w:keepNext w:val="0"/>
        <w:keepLines w:val="0"/>
        <w:widowControl w:val="0"/>
        <w:numPr>
          <w:ilvl w:val="0"/>
          <w:numId w:val="9"/>
        </w:numPr>
        <w:shd w:val="clear" w:color="auto" w:fill="auto"/>
        <w:tabs>
          <w:tab w:pos="1009" w:val="left"/>
        </w:tabs>
        <w:bidi w:val="0"/>
        <w:spacing w:before="0" w:after="0" w:line="254" w:lineRule="auto"/>
        <w:ind w:left="0" w:right="0" w:firstLine="700"/>
        <w:jc w:val="both"/>
      </w:pPr>
      <w:r>
        <w:rPr>
          <w:color w:val="000000"/>
          <w:spacing w:val="0"/>
          <w:w w:val="100"/>
          <w:position w:val="0"/>
          <w:shd w:val="clear" w:color="auto" w:fill="auto"/>
          <w:lang w:val="ru-RU" w:eastAsia="ru-RU" w:bidi="ru-RU"/>
        </w:rPr>
        <w:t>заявка (окончательное предложение) такого участника закупки соответствует требованиям документации о закупке;</w:t>
      </w:r>
    </w:p>
    <w:p>
      <w:pPr>
        <w:pStyle w:val="Style9"/>
        <w:keepNext w:val="0"/>
        <w:keepLines w:val="0"/>
        <w:widowControl w:val="0"/>
        <w:numPr>
          <w:ilvl w:val="0"/>
          <w:numId w:val="9"/>
        </w:numPr>
        <w:shd w:val="clear" w:color="auto" w:fill="auto"/>
        <w:tabs>
          <w:tab w:pos="994"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К 1289 и при этом соответствуют совокупности условий, указанных в подпунктах "а" и "б" настоящего подпункта;</w:t>
      </w:r>
    </w:p>
    <w:p>
      <w:pPr>
        <w:pStyle w:val="Style9"/>
        <w:keepNext w:val="0"/>
        <w:keepLines w:val="0"/>
        <w:widowControl w:val="0"/>
        <w:numPr>
          <w:ilvl w:val="0"/>
          <w:numId w:val="9"/>
        </w:numPr>
        <w:shd w:val="clear" w:color="auto" w:fill="auto"/>
        <w:tabs>
          <w:tab w:pos="98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 1289, но не соответствует условию, указанному в подпункте "а" настоящего подпункта.</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Подтверждением страны происхождения товаров, указанных в Приложении, является указание (декларирование) участником закупки в заявке в соответствии с Федеральным законом наименования страны происхождения товара (пункт 1.6 Приказа № 126н).</w:t>
      </w:r>
    </w:p>
    <w:p>
      <w:pPr>
        <w:pStyle w:val="Style9"/>
        <w:keepNext w:val="0"/>
        <w:keepLines w:val="0"/>
        <w:widowControl w:val="0"/>
        <w:shd w:val="clear" w:color="auto" w:fill="auto"/>
        <w:bidi w:val="0"/>
        <w:spacing w:before="0" w:after="0" w:line="254" w:lineRule="auto"/>
        <w:ind w:left="0" w:right="0" w:firstLine="700"/>
        <w:jc w:val="both"/>
      </w:pPr>
      <w:r>
        <w:rPr>
          <w:color w:val="000000"/>
          <w:spacing w:val="0"/>
          <w:w w:val="100"/>
          <w:position w:val="0"/>
          <w:shd w:val="clear" w:color="auto" w:fill="auto"/>
          <w:lang w:val="ru-RU" w:eastAsia="ru-RU" w:bidi="ru-RU"/>
        </w:rPr>
        <w:t>Подпунктами «а», «б» пункта 1 части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w:t>
      </w:r>
    </w:p>
    <w:p>
      <w:pPr>
        <w:pStyle w:val="Style9"/>
        <w:keepNext w:val="0"/>
        <w:keepLines w:val="0"/>
        <w:widowControl w:val="0"/>
        <w:numPr>
          <w:ilvl w:val="0"/>
          <w:numId w:val="11"/>
        </w:numPr>
        <w:shd w:val="clear" w:color="auto" w:fill="auto"/>
        <w:tabs>
          <w:tab w:pos="990" w:val="left"/>
        </w:tabs>
        <w:bidi w:val="0"/>
        <w:spacing w:before="0" w:after="0" w:line="254" w:lineRule="auto"/>
        <w:ind w:left="0" w:right="0" w:firstLine="70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9"/>
        <w:keepNext w:val="0"/>
        <w:keepLines w:val="0"/>
        <w:widowControl w:val="0"/>
        <w:numPr>
          <w:ilvl w:val="0"/>
          <w:numId w:val="11"/>
        </w:numPr>
        <w:shd w:val="clear" w:color="auto" w:fill="auto"/>
        <w:tabs>
          <w:tab w:pos="1009" w:val="left"/>
        </w:tabs>
        <w:bidi w:val="0"/>
        <w:spacing w:before="0" w:after="0" w:line="254" w:lineRule="auto"/>
        <w:ind w:left="0" w:right="0" w:firstLine="700"/>
        <w:jc w:val="both"/>
      </w:pPr>
      <w:r>
        <w:rPr>
          <w:color w:val="000000"/>
          <w:spacing w:val="0"/>
          <w:w w:val="100"/>
          <w:position w:val="0"/>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w:t>
      </w:r>
      <w:r>
        <w:rPr>
          <w:color w:val="000000"/>
          <w:spacing w:val="0"/>
          <w:w w:val="100"/>
          <w:position w:val="0"/>
          <w:shd w:val="clear" w:color="auto" w:fill="auto"/>
          <w:lang w:val="ru-RU" w:eastAsia="ru-RU" w:bidi="ru-RU"/>
        </w:rPr>
        <w:t>присваивается первый номер.</w:t>
      </w:r>
    </w:p>
    <w:p>
      <w:pPr>
        <w:pStyle w:val="Style9"/>
        <w:keepNext w:val="0"/>
        <w:keepLines w:val="0"/>
        <w:widowControl w:val="0"/>
        <w:shd w:val="clear" w:color="auto" w:fill="auto"/>
        <w:bidi w:val="0"/>
        <w:spacing w:before="0" w:after="0" w:line="269" w:lineRule="auto"/>
        <w:ind w:left="0" w:right="0" w:firstLine="720"/>
        <w:jc w:val="both"/>
      </w:pPr>
      <w:r>
        <w:rPr>
          <w:color w:val="000000"/>
          <w:spacing w:val="0"/>
          <w:w w:val="100"/>
          <w:position w:val="0"/>
          <w:shd w:val="clear" w:color="auto" w:fill="auto"/>
          <w:lang w:val="ru-RU" w:eastAsia="ru-RU" w:bidi="ru-RU"/>
        </w:rPr>
        <w:t>Закупаемый заказчиком лекарственный препарат Норэпинефрин включен в приложение № 1 к Приказу № 126н.</w:t>
      </w:r>
    </w:p>
    <w:p>
      <w:pPr>
        <w:pStyle w:val="Style9"/>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Кроме того, закупаемый лекарственный препарат Норэпинефрин включен в Перечень жизненно необходимых и важнейших лекарственных препаратов для медицинского применения, утвержденный распоряжением Правительства Российской Федерации от 12.10.2019 № 2406-р.</w:t>
      </w:r>
    </w:p>
    <w:p>
      <w:pPr>
        <w:pStyle w:val="Style9"/>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Таким образом, в извещении о проведении электронного аукциона были установлены условия допуска товаров в соответствии с Приказом № 126н и ограничения допуска в соответствии с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(подрядчика, исполнителя) от 01.12.2023 № 0136500001123007311 комиссия по осуществлению закупок приняла решение о соответствии двух поданных заявок требованиям, установленным извещением об осуществлении закупки. Заявка с идентификационным номером 115469456 признана несоответствующей требованиям извещения по пункту 4 части 12 статьи 48 Федерального закона № 44-ФЗ (несоответствие требованиям нормативных правовых актов, принятых в соответствии с статьей 14 Федерального закона № 44-ФЗ). Заявка участника закупки содержит предложение о поставке лекарственного препарата, страной происхождения которого является Франция. Другими допущенными участниками закупки предложены к поставке лекарственные препараты, страной происхождения которых являются государства - члены Евразийского экономического союза, а также представлены сертификаты о происхождении товара формы СТ-1, указывающие на разных производителей предлагаемых лекарственных препаратов.</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Как указывает Заявитель, участник с идентификационным номером заявки № 115467935 предложил к поставке лекарственный препарат МНН Норэпинефрин с торговым наименованием Норэпинефрин (производитель Акционерное общество «ЭкоФармПлюс») регистрационное удостоверение лекарственного препарата №ЛП-006167 от 07.04.2020, держатель регистрационного удостоверения Акционерное общество «ЭкоФармПлюс»; Россия).</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Из сведений Государственного реестра лекарственных средств, следует, что фармацевтические субстанции (МНН Норэпинефрин, предлагаемого победителем аукциона к поставке лекарственного препарата, регистрационное удостоверение №ЛП-006167 от 07.04.2020, производится в иностранном государстве</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При этом, в реестр фармсубстанций Государственного реестра лекарственных средств включены сведения о фармсубстанциях (МНН Норэпинефрин, торговое наименование Норэпинефрин) предполагаемого победителем электронного аукциона к поставке лекарственного препарата, которые производится на территории, как Российской Федерации, так и на территории иностранного государства (США) - Производитель: АМРИ Ренсселаер, Инк., Адрес: 33 ВтуегзМе Ауепие, Кепззе1аег, ЫУ 12144, Р18А.</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отсутствовали основания для применения пункта 1.4 Приказа № 126н.</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Представители Заказчика и Уполномоченного органа пояснили, что комиссией по осуществлению закупок при рассмотрении заявок участников закупки была допущена техническая ошибка, вследствие которой не были применены положения пункта 1.4 Приказа № 126н.</w:t>
      </w:r>
    </w:p>
    <w:p>
      <w:pPr>
        <w:pStyle w:val="Style9"/>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Таким образом, Комиссия приходит к выводу, что комиссией по осуществлению закупок заказчика допущено нарушение пункта 1 части 5 статьи 49 Закона о контрактной системе, что содержит признаки административного правонарушения, ответственность за совершение которого предусмотрена частью 2 статьи 7.30 Кодекса Российской Федерации об административных правонарушениях.</w:t>
      </w:r>
      <w:r>
        <w:br w:type="page"/>
      </w:r>
    </w:p>
    <w:p>
      <w:pPr>
        <w:pStyle w:val="Style9"/>
        <w:keepNext w:val="0"/>
        <w:keepLines w:val="0"/>
        <w:widowControl w:val="0"/>
        <w:shd w:val="clear" w:color="auto" w:fill="auto"/>
        <w:bidi w:val="0"/>
        <w:spacing w:before="0" w:after="500" w:line="259" w:lineRule="auto"/>
        <w:ind w:left="0" w:right="0" w:firstLine="68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9"/>
        <w:keepNext/>
        <w:keepLines/>
        <w:widowControl w:val="0"/>
        <w:shd w:val="clear" w:color="auto" w:fill="auto"/>
        <w:bidi w:val="0"/>
        <w:spacing w:before="0" w:after="260" w:line="240" w:lineRule="auto"/>
        <w:ind w:left="0" w:right="0" w:firstLine="0"/>
        <w:jc w:val="center"/>
      </w:pPr>
      <w:bookmarkStart w:id="4" w:name="bookmark4"/>
      <w:r>
        <w:rPr>
          <w:color w:val="000000"/>
          <w:spacing w:val="0"/>
          <w:w w:val="100"/>
          <w:position w:val="0"/>
          <w:shd w:val="clear" w:color="auto" w:fill="auto"/>
          <w:lang w:val="ru-RU" w:eastAsia="ru-RU" w:bidi="ru-RU"/>
        </w:rPr>
        <w:t>РЕШИЛА:</w:t>
      </w:r>
      <w:bookmarkEnd w:id="4"/>
    </w:p>
    <w:p>
      <w:pPr>
        <w:pStyle w:val="Style9"/>
        <w:keepNext w:val="0"/>
        <w:keepLines w:val="0"/>
        <w:widowControl w:val="0"/>
        <w:numPr>
          <w:ilvl w:val="0"/>
          <w:numId w:val="13"/>
        </w:numPr>
        <w:shd w:val="clear" w:color="auto" w:fill="auto"/>
        <w:tabs>
          <w:tab w:pos="1333" w:val="left"/>
          <w:tab w:pos="1338" w:val="left"/>
        </w:tabs>
        <w:bidi w:val="0"/>
        <w:spacing w:before="0" w:after="0" w:line="257" w:lineRule="auto"/>
        <w:ind w:left="0" w:right="0" w:firstLine="680"/>
        <w:jc w:val="both"/>
      </w:pPr>
      <w:r>
        <w:rPr>
          <w:color w:val="000000"/>
          <w:spacing w:val="0"/>
          <w:w w:val="100"/>
          <w:position w:val="0"/>
          <w:shd w:val="clear" w:color="auto" w:fill="auto"/>
          <w:lang w:val="ru-RU" w:eastAsia="ru-RU" w:bidi="ru-RU"/>
        </w:rPr>
        <w:t>Признать жалобу ООО «Алькорфарм» обоснованной.</w:t>
      </w:r>
    </w:p>
    <w:p>
      <w:pPr>
        <w:pStyle w:val="Style9"/>
        <w:keepNext w:val="0"/>
        <w:keepLines w:val="0"/>
        <w:widowControl w:val="0"/>
        <w:numPr>
          <w:ilvl w:val="0"/>
          <w:numId w:val="13"/>
        </w:numPr>
        <w:shd w:val="clear" w:color="auto" w:fill="auto"/>
        <w:tabs>
          <w:tab w:pos="1333" w:val="left"/>
          <w:tab w:pos="1338" w:val="left"/>
        </w:tabs>
        <w:bidi w:val="0"/>
        <w:spacing w:before="0" w:after="0" w:line="257" w:lineRule="auto"/>
        <w:ind w:left="0" w:right="0" w:firstLine="680"/>
        <w:jc w:val="both"/>
      </w:pPr>
      <w:r>
        <w:rPr>
          <w:color w:val="000000"/>
          <w:spacing w:val="0"/>
          <w:w w:val="100"/>
          <w:position w:val="0"/>
          <w:shd w:val="clear" w:color="auto" w:fill="auto"/>
          <w:lang w:val="ru-RU" w:eastAsia="ru-RU" w:bidi="ru-RU"/>
        </w:rPr>
        <w:t>Признать в действиях Заказчика нарушения пункта 1 части 5 статьи 49 Закона о</w:t>
      </w:r>
    </w:p>
    <w:p>
      <w:pPr>
        <w:pStyle w:val="Style9"/>
        <w:keepNext w:val="0"/>
        <w:keepLines w:val="0"/>
        <w:widowControl w:val="0"/>
        <w:shd w:val="clear" w:color="auto" w:fill="auto"/>
        <w:bidi w:val="0"/>
        <w:spacing w:before="0" w:after="0" w:line="257" w:lineRule="auto"/>
        <w:ind w:left="0" w:right="0" w:firstLine="0"/>
        <w:jc w:val="both"/>
      </w:pPr>
      <w:r>
        <w:rPr>
          <w:color w:val="000000"/>
          <w:spacing w:val="0"/>
          <w:w w:val="100"/>
          <w:position w:val="0"/>
          <w:shd w:val="clear" w:color="auto" w:fill="auto"/>
          <w:lang w:val="ru-RU" w:eastAsia="ru-RU" w:bidi="ru-RU"/>
        </w:rPr>
        <w:t>контрактной системе.</w:t>
      </w:r>
    </w:p>
    <w:p>
      <w:pPr>
        <w:pStyle w:val="Style9"/>
        <w:keepNext w:val="0"/>
        <w:keepLines w:val="0"/>
        <w:widowControl w:val="0"/>
        <w:numPr>
          <w:ilvl w:val="0"/>
          <w:numId w:val="13"/>
        </w:numPr>
        <w:shd w:val="clear" w:color="auto" w:fill="auto"/>
        <w:tabs>
          <w:tab w:pos="1333" w:val="left"/>
        </w:tabs>
        <w:bidi w:val="0"/>
        <w:spacing w:before="0" w:after="0" w:line="257" w:lineRule="auto"/>
        <w:ind w:left="0" w:right="0" w:firstLine="680"/>
        <w:jc w:val="both"/>
      </w:pPr>
      <w:r>
        <w:rPr>
          <w:color w:val="000000"/>
          <w:spacing w:val="0"/>
          <w:w w:val="100"/>
          <w:position w:val="0"/>
          <w:shd w:val="clear" w:color="auto" w:fill="auto"/>
          <w:lang w:val="ru-RU" w:eastAsia="ru-RU" w:bidi="ru-RU"/>
        </w:rPr>
        <w:t>Заказчику, Уполномоченному органу, комиссии по осуществлению закупок, Оператору электронной площадки выдать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numPr>
          <w:ilvl w:val="0"/>
          <w:numId w:val="13"/>
        </w:numPr>
        <w:shd w:val="clear" w:color="auto" w:fill="auto"/>
        <w:tabs>
          <w:tab w:pos="1333" w:val="left"/>
        </w:tabs>
        <w:bidi w:val="0"/>
        <w:spacing w:before="0" w:after="260" w:line="257" w:lineRule="auto"/>
        <w:ind w:left="0" w:right="0" w:firstLine="68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Тверского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1060" w:line="254" w:lineRule="auto"/>
        <w:ind w:left="0" w:right="0" w:firstLine="680"/>
        <w:jc w:val="both"/>
      </w:pPr>
      <w:r>
        <w:drawing>
          <wp:anchor distT="0" distB="0" distL="114300" distR="1461770" simplePos="0" relativeHeight="125829378" behindDoc="0" locked="0" layoutInCell="1" allowOverlap="1">
            <wp:simplePos x="0" y="0"/>
            <wp:positionH relativeFrom="page">
              <wp:posOffset>3339465</wp:posOffset>
            </wp:positionH>
            <wp:positionV relativeFrom="paragraph">
              <wp:posOffset>647700</wp:posOffset>
            </wp:positionV>
            <wp:extent cx="1341120" cy="1493520"/>
            <wp:wrapSquare wrapText="lef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341120" cy="149352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4924425</wp:posOffset>
                </wp:positionH>
                <wp:positionV relativeFrom="paragraph">
                  <wp:posOffset>1187450</wp:posOffset>
                </wp:positionV>
                <wp:extent cx="1100455" cy="539750"/>
                <wp:wrapNone/>
                <wp:docPr id="11" name="Shape 11"/>
                <a:graphic xmlns:a="http://schemas.openxmlformats.org/drawingml/2006/main">
                  <a:graphicData uri="http://schemas.microsoft.com/office/word/2010/wordprocessingShape">
                    <wps:wsp>
                      <wps:cNvSpPr txBox="1"/>
                      <wps:spPr>
                        <a:xfrm>
                          <a:ext cx="1100455" cy="5397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Е.В. Ключникова</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П.В. Винницкая</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 Быков</w:t>
                            </w:r>
                          </w:p>
                        </w:txbxContent>
                      </wps:txbx>
                      <wps:bodyPr lIns="0" tIns="0" rIns="0" bIns="0">
                        <a:noAutoFit/>
                      </wps:bodyPr>
                    </wps:wsp>
                  </a:graphicData>
                </a:graphic>
              </wp:anchor>
            </w:drawing>
          </mc:Choice>
          <mc:Fallback>
            <w:pict>
              <v:shape id="_x0000_s1037" type="#_x0000_t202" style="position:absolute;margin-left:387.75pt;margin-top:93.5pt;width:86.650000000000006pt;height:42.5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Е.В. Ключникова</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П.В. Винницкая</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 Быков</w:t>
                      </w:r>
                    </w:p>
                  </w:txbxContent>
                </v:textbox>
                <w10:wrap anchorx="page"/>
              </v:shape>
            </w:pict>
          </mc:Fallback>
        </mc:AlternateContent>
      </w:r>
      <w:r>
        <w:rPr>
          <w:color w:val="000000"/>
          <w:spacing w:val="0"/>
          <w:w w:val="100"/>
          <w:position w:val="0"/>
          <w:shd w:val="clear" w:color="auto" w:fill="auto"/>
          <w:lang w:val="ru-RU" w:eastAsia="ru-RU" w:bidi="ru-RU"/>
        </w:rPr>
        <w:t>Настоящее решение в течение трех месяцев со дня его изготовления может быть обжаловано в Арбитражный суд Тверской области, находящийся по адресу: 170100 г. Тверь, пл. Святого Благоверного Князя Михаила Тверского, д. 5.</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9"/>
        <w:keepNext w:val="0"/>
        <w:keepLines w:val="0"/>
        <w:widowControl w:val="0"/>
        <w:shd w:val="clear" w:color="auto" w:fill="auto"/>
        <w:bidi w:val="0"/>
        <w:spacing w:before="0" w:after="650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Исп.Винницкая П.Д.</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тел.8(4822) 34-24-31, вн. 069-113</w:t>
      </w:r>
    </w:p>
    <w:sectPr>
      <w:footnotePr>
        <w:pos w:val="pageBottom"/>
        <w:numFmt w:val="decimal"/>
        <w:numRestart w:val="continuous"/>
      </w:footnotePr>
      <w:type w:val="continuous"/>
      <w:pgSz w:w="11900" w:h="16840"/>
      <w:pgMar w:top="1923" w:right="672" w:bottom="1591" w:left="12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862965</wp:posOffset>
              </wp:positionH>
              <wp:positionV relativeFrom="page">
                <wp:posOffset>9829165</wp:posOffset>
              </wp:positionV>
              <wp:extent cx="694690" cy="103505"/>
              <wp:wrapNone/>
              <wp:docPr id="5" name="Shape 5"/>
              <a:graphic xmlns:a="http://schemas.openxmlformats.org/drawingml/2006/main">
                <a:graphicData uri="http://schemas.microsoft.com/office/word/2010/wordprocessingShape">
                  <wps:wsp>
                    <wps:cNvSpPr txBox="1"/>
                    <wps:spPr>
                      <a:xfrm>
                        <a:ext cx="69469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2023-11332</w:t>
                          </w:r>
                        </w:p>
                      </w:txbxContent>
                    </wps:txbx>
                    <wps:bodyPr wrap="none" lIns="0" tIns="0" rIns="0" bIns="0">
                      <a:spAutoFit/>
                    </wps:bodyPr>
                  </wps:wsp>
                </a:graphicData>
              </a:graphic>
            </wp:anchor>
          </w:drawing>
        </mc:Choice>
        <mc:Fallback>
          <w:pict>
            <v:shape id="_x0000_s1031" type="#_x0000_t202" style="position:absolute;margin-left:67.950000000000003pt;margin-top:773.95000000000005pt;width:54.700000000000003pt;height:8.1500000000000004pt;z-index:-188744060;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2023-11332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1049655</wp:posOffset>
              </wp:positionH>
              <wp:positionV relativeFrom="page">
                <wp:posOffset>9662795</wp:posOffset>
              </wp:positionV>
              <wp:extent cx="697865" cy="103505"/>
              <wp:wrapNone/>
              <wp:docPr id="7" name="Shape 7"/>
              <a:graphic xmlns:a="http://schemas.openxmlformats.org/drawingml/2006/main">
                <a:graphicData uri="http://schemas.microsoft.com/office/word/2010/wordprocessingShape">
                  <wps:wsp>
                    <wps:cNvSpPr txBox="1"/>
                    <wps:spPr>
                      <a:xfrm>
                        <a:ext cx="697865"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2023-11332</w:t>
                          </w:r>
                        </w:p>
                      </w:txbxContent>
                    </wps:txbx>
                    <wps:bodyPr wrap="none" lIns="0" tIns="0" rIns="0" bIns="0">
                      <a:spAutoFit/>
                    </wps:bodyPr>
                  </wps:wsp>
                </a:graphicData>
              </a:graphic>
            </wp:anchor>
          </w:drawing>
        </mc:Choice>
        <mc:Fallback>
          <w:pict>
            <v:shape id="_x0000_s1033" type="#_x0000_t202" style="position:absolute;margin-left:82.650000000000006pt;margin-top:760.85000000000002pt;width:54.950000000000003pt;height:8.1500000000000004pt;z-index:-188744058;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2023-11332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3944620</wp:posOffset>
              </wp:positionH>
              <wp:positionV relativeFrom="page">
                <wp:posOffset>913765</wp:posOffset>
              </wp:positionV>
              <wp:extent cx="64135" cy="100330"/>
              <wp:wrapNone/>
              <wp:docPr id="3" name="Shape 3"/>
              <a:graphic xmlns:a="http://schemas.openxmlformats.org/drawingml/2006/main">
                <a:graphicData uri="http://schemas.microsoft.com/office/word/2010/wordprocessingShape">
                  <wps:wsp>
                    <wps:cNvSpPr txBox="1"/>
                    <wps:spPr>
                      <a:xfrm>
                        <a:ext cx="64135"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10.60000000000002pt;margin-top:71.950000000000003pt;width:5.0499999999999998pt;height:7.9000000000000004pt;z-index:-188744062;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5"/>
      <w:szCs w:val="15"/>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sz w:val="19"/>
      <w:szCs w:val="19"/>
      <w:u w:val="none"/>
    </w:rPr>
  </w:style>
  <w:style w:type="character" w:customStyle="1" w:styleId="CharStyle8">
    <w:name w:val="Основной текст (4)_"/>
    <w:basedOn w:val="DefaultParagraphFont"/>
    <w:link w:val="Style7"/>
    <w:rPr>
      <w:rFonts w:ascii="Arial" w:eastAsia="Arial" w:hAnsi="Arial" w:cs="Arial"/>
      <w:b w:val="0"/>
      <w:bCs w:val="0"/>
      <w:i w:val="0"/>
      <w:iCs w:val="0"/>
      <w:smallCaps w:val="0"/>
      <w:strike w:val="0"/>
      <w:sz w:val="20"/>
      <w:szCs w:val="20"/>
      <w:u w:val="none"/>
      <w:lang w:val="1024"/>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2"/>
      <w:szCs w:val="22"/>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Подпись к картинке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4"/>
      <w:szCs w:val="34"/>
      <w:u w:val="none"/>
    </w:rPr>
  </w:style>
  <w:style w:type="character" w:customStyle="1" w:styleId="CharStyle20">
    <w:name w:val="Заголовок №2_"/>
    <w:basedOn w:val="DefaultParagraphFont"/>
    <w:link w:val="Style1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2)"/>
    <w:basedOn w:val="Normal"/>
    <w:link w:val="CharStyle3"/>
    <w:pPr>
      <w:widowControl w:val="0"/>
      <w:shd w:val="clear" w:color="auto" w:fill="auto"/>
      <w:spacing w:line="274" w:lineRule="auto"/>
      <w:jc w:val="center"/>
    </w:pPr>
    <w:rPr>
      <w:rFonts w:ascii="Times New Roman" w:eastAsia="Times New Roman" w:hAnsi="Times New Roman" w:cs="Times New Roman"/>
      <w:b w:val="0"/>
      <w:bCs w:val="0"/>
      <w:i w:val="0"/>
      <w:iCs w:val="0"/>
      <w:smallCaps w:val="0"/>
      <w:strike w:val="0"/>
      <w:sz w:val="15"/>
      <w:szCs w:val="15"/>
      <w:u w:val="none"/>
    </w:rPr>
  </w:style>
  <w:style w:type="paragraph" w:customStyle="1" w:styleId="Style5">
    <w:name w:val="Основной текст (3)"/>
    <w:basedOn w:val="Normal"/>
    <w:link w:val="CharStyle6"/>
    <w:pPr>
      <w:widowControl w:val="0"/>
      <w:shd w:val="clear" w:color="auto" w:fill="auto"/>
      <w:jc w:val="center"/>
    </w:pPr>
    <w:rPr>
      <w:rFonts w:ascii="Times New Roman" w:eastAsia="Times New Roman" w:hAnsi="Times New Roman" w:cs="Times New Roman"/>
      <w:b w:val="0"/>
      <w:bCs w:val="0"/>
      <w:i w:val="0"/>
      <w:iCs w:val="0"/>
      <w:smallCaps w:val="0"/>
      <w:strike w:val="0"/>
      <w:sz w:val="19"/>
      <w:szCs w:val="19"/>
      <w:u w:val="none"/>
    </w:rPr>
  </w:style>
  <w:style w:type="paragraph" w:customStyle="1" w:styleId="Style7">
    <w:name w:val="Основной текст (4)"/>
    <w:basedOn w:val="Normal"/>
    <w:link w:val="CharStyle8"/>
    <w:pPr>
      <w:widowControl w:val="0"/>
      <w:shd w:val="clear" w:color="auto" w:fill="auto"/>
    </w:pPr>
    <w:rPr>
      <w:rFonts w:ascii="Arial" w:eastAsia="Arial" w:hAnsi="Arial" w:cs="Arial"/>
      <w:b w:val="0"/>
      <w:bCs w:val="0"/>
      <w:i w:val="0"/>
      <w:iCs w:val="0"/>
      <w:smallCaps w:val="0"/>
      <w:strike w:val="0"/>
      <w:sz w:val="20"/>
      <w:szCs w:val="20"/>
      <w:u w:val="none"/>
      <w:lang w:val="1024"/>
    </w:rPr>
  </w:style>
  <w:style w:type="paragraph" w:customStyle="1" w:styleId="Style9">
    <w:name w:val="Основной текст"/>
    <w:basedOn w:val="Normal"/>
    <w:link w:val="CharStyle10"/>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Подпись к картинке"/>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 w:type="paragraph" w:customStyle="1" w:styleId="Style17">
    <w:name w:val="Заголовок №1"/>
    <w:basedOn w:val="Normal"/>
    <w:link w:val="CharStyle18"/>
    <w:pPr>
      <w:widowControl w:val="0"/>
      <w:shd w:val="clear" w:color="auto" w:fill="auto"/>
      <w:spacing w:after="320"/>
      <w:outlineLvl w:val="0"/>
    </w:pPr>
    <w:rPr>
      <w:rFonts w:ascii="Arial" w:eastAsia="Arial" w:hAnsi="Arial" w:cs="Arial"/>
      <w:b w:val="0"/>
      <w:bCs w:val="0"/>
      <w:i w:val="0"/>
      <w:iCs w:val="0"/>
      <w:smallCaps w:val="0"/>
      <w:strike w:val="0"/>
      <w:sz w:val="34"/>
      <w:szCs w:val="34"/>
      <w:u w:val="none"/>
    </w:rPr>
  </w:style>
  <w:style w:type="paragraph" w:customStyle="1" w:styleId="Style19">
    <w:name w:val="Заголовок №2"/>
    <w:basedOn w:val="Normal"/>
    <w:link w:val="CharStyle20"/>
    <w:pPr>
      <w:widowControl w:val="0"/>
      <w:shd w:val="clear" w:color="auto" w:fill="auto"/>
      <w:spacing w:after="250" w:line="245" w:lineRule="auto"/>
      <w:jc w:val="center"/>
      <w:outlineLvl w:val="1"/>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