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framePr w:w="2779" w:h="427" w:wrap="none" w:hAnchor="page" w:x="2200" w:y="1105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center"/>
        <w:rPr>
          <w:sz w:val="16"/>
          <w:szCs w:val="16"/>
        </w:rPr>
      </w:pPr>
      <w:r>
        <w:rPr>
          <w:b/>
          <w:bCs/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ru-RU" w:eastAsia="ru-RU" w:bidi="ru-RU"/>
        </w:rPr>
        <w:t>ФЕДЕРАЛЬНАЯ</w:t>
      </w:r>
    </w:p>
    <w:p>
      <w:pPr>
        <w:pStyle w:val="Style2"/>
        <w:keepNext w:val="0"/>
        <w:keepLines w:val="0"/>
        <w:framePr w:w="2779" w:h="427" w:wrap="none" w:hAnchor="page" w:x="2200" w:y="110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rPr>
          <w:sz w:val="16"/>
          <w:szCs w:val="16"/>
        </w:rPr>
      </w:pPr>
      <w:r>
        <w:rPr>
          <w:b/>
          <w:bCs/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ru-RU" w:eastAsia="ru-RU" w:bidi="ru-RU"/>
        </w:rPr>
        <w:t>АНТИМОНОПОЛЬНАЯ СЛУЖБА</w:t>
      </w:r>
    </w:p>
    <w:p>
      <w:pPr>
        <w:pStyle w:val="Style5"/>
        <w:keepNext w:val="0"/>
        <w:keepLines w:val="0"/>
        <w:framePr w:w="3408" w:h="686" w:wrap="none" w:hAnchor="page" w:x="1902" w:y="167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УПРАВЛЕНИЕ</w:t>
        <w:br/>
        <w:t>Федеральной антимонопольной службы</w:t>
        <w:br/>
        <w:t>по Тверской области</w:t>
      </w:r>
    </w:p>
    <w:p>
      <w:pPr>
        <w:pStyle w:val="Style2"/>
        <w:keepNext w:val="0"/>
        <w:keepLines w:val="0"/>
        <w:framePr w:w="2390" w:h="691" w:wrap="none" w:hAnchor="page" w:x="2392" w:y="2521"/>
        <w:widowControl w:val="0"/>
        <w:shd w:val="clear" w:color="auto" w:fill="auto"/>
        <w:bidi w:val="0"/>
        <w:spacing w:before="0" w:after="0" w:line="314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уд. Советская, 23. г. Тверь, 170100</w:t>
        <w:br/>
        <w:t>тел. (4822) 32-08-32</w:t>
      </w:r>
    </w:p>
    <w:p>
      <w:pPr>
        <w:pStyle w:val="Style2"/>
        <w:keepNext w:val="0"/>
        <w:keepLines w:val="0"/>
        <w:framePr w:w="2390" w:h="691" w:wrap="none" w:hAnchor="page" w:x="2392" w:y="2521"/>
        <w:widowControl w:val="0"/>
        <w:shd w:val="clear" w:color="auto" w:fill="auto"/>
        <w:bidi w:val="0"/>
        <w:spacing w:before="0" w:after="0" w:line="314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е-шаб: 1об9@Гая.§оу.п1</w:t>
      </w:r>
    </w:p>
    <w:p>
      <w:pPr>
        <w:pStyle w:val="Style7"/>
        <w:keepNext w:val="0"/>
        <w:keepLines w:val="0"/>
        <w:framePr w:w="3898" w:h="240" w:wrap="none" w:hAnchor="page" w:x="1619" w:y="400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№от</w:t>
      </w:r>
    </w:p>
    <w:p>
      <w:pPr>
        <w:pStyle w:val="Style9"/>
        <w:keepNext w:val="0"/>
        <w:keepLines w:val="0"/>
        <w:framePr w:w="4685" w:h="3499" w:wrap="none" w:hAnchor="page" w:x="6659" w:y="889"/>
        <w:widowControl w:val="0"/>
        <w:shd w:val="clear" w:color="auto" w:fill="auto"/>
        <w:bidi w:val="0"/>
        <w:spacing w:before="0" w:after="0" w:line="252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Заказчик:</w:t>
      </w:r>
    </w:p>
    <w:p>
      <w:pPr>
        <w:pStyle w:val="Style9"/>
        <w:keepNext w:val="0"/>
        <w:keepLines w:val="0"/>
        <w:framePr w:w="4685" w:h="3499" w:wrap="none" w:hAnchor="page" w:x="6659" w:y="889"/>
        <w:widowControl w:val="0"/>
        <w:shd w:val="clear" w:color="auto" w:fill="auto"/>
        <w:bidi w:val="0"/>
        <w:spacing w:before="0" w:after="0" w:line="252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Государственное бюджетное учреждение здравоохранения Тверской области "Областная клиническая больница"</w:t>
      </w:r>
    </w:p>
    <w:p>
      <w:pPr>
        <w:pStyle w:val="Style9"/>
        <w:keepNext w:val="0"/>
        <w:keepLines w:val="0"/>
        <w:framePr w:w="4685" w:h="3499" w:wrap="none" w:hAnchor="page" w:x="6659" w:y="889"/>
        <w:widowControl w:val="0"/>
        <w:shd w:val="clear" w:color="auto" w:fill="auto"/>
        <w:bidi w:val="0"/>
        <w:spacing w:before="0" w:after="260" w:line="252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е-шай: зирег444444@уапс1ех.ги (э)</w:t>
      </w:r>
    </w:p>
    <w:p>
      <w:pPr>
        <w:pStyle w:val="Style9"/>
        <w:keepNext w:val="0"/>
        <w:keepLines w:val="0"/>
        <w:framePr w:w="4685" w:h="3499" w:wrap="none" w:hAnchor="page" w:x="6659" w:y="889"/>
        <w:widowControl w:val="0"/>
        <w:shd w:val="clear" w:color="auto" w:fill="auto"/>
        <w:bidi w:val="0"/>
        <w:spacing w:before="0" w:after="0" w:line="269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Уполномоченный орган:</w:t>
      </w:r>
    </w:p>
    <w:p>
      <w:pPr>
        <w:pStyle w:val="Style9"/>
        <w:keepNext w:val="0"/>
        <w:keepLines w:val="0"/>
        <w:framePr w:w="4685" w:h="3499" w:wrap="none" w:hAnchor="page" w:x="6659" w:y="889"/>
        <w:widowControl w:val="0"/>
        <w:shd w:val="clear" w:color="auto" w:fill="auto"/>
        <w:bidi w:val="0"/>
        <w:spacing w:before="0" w:after="0" w:line="269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Комитет государственного заказа Тверской области</w:t>
      </w:r>
    </w:p>
    <w:p>
      <w:pPr>
        <w:pStyle w:val="Style9"/>
        <w:keepNext w:val="0"/>
        <w:keepLines w:val="0"/>
        <w:framePr w:w="4685" w:h="3499" w:wrap="none" w:hAnchor="page" w:x="6659" w:y="889"/>
        <w:widowControl w:val="0"/>
        <w:shd w:val="clear" w:color="auto" w:fill="auto"/>
        <w:bidi w:val="0"/>
        <w:spacing w:before="0" w:after="260" w:line="259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е-тай: кот_§о82ака2а@Ыегге§.ги (э)</w:t>
      </w:r>
    </w:p>
    <w:p>
      <w:pPr>
        <w:pStyle w:val="Style9"/>
        <w:keepNext w:val="0"/>
        <w:keepLines w:val="0"/>
        <w:framePr w:w="4685" w:h="3499" w:wrap="none" w:hAnchor="page" w:x="6659" w:y="889"/>
        <w:widowControl w:val="0"/>
        <w:shd w:val="clear" w:color="auto" w:fill="auto"/>
        <w:bidi w:val="0"/>
        <w:spacing w:before="0" w:after="260" w:line="264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по осуществлению закупок: е-тай: зирег444444@уап(1ех.ги (э)</w:t>
      </w:r>
    </w:p>
    <w:p>
      <w:pPr>
        <w:widowControl w:val="0"/>
        <w:spacing w:line="360" w:lineRule="exact"/>
      </w:pPr>
      <w:r>
        <w:drawing>
          <wp:anchor distT="0" distB="0" distL="0" distR="0" simplePos="0" relativeHeight="62914690" behindDoc="1" locked="0" layoutInCell="1" allowOverlap="1">
            <wp:simplePos x="0" y="0"/>
            <wp:positionH relativeFrom="page">
              <wp:posOffset>2036445</wp:posOffset>
            </wp:positionH>
            <wp:positionV relativeFrom="margin">
              <wp:posOffset>0</wp:posOffset>
            </wp:positionV>
            <wp:extent cx="506095" cy="597535"/>
            <wp:wrapNone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06095" cy="59753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426" w:line="1" w:lineRule="exact"/>
      </w:pPr>
    </w:p>
    <w:p>
      <w:pPr>
        <w:widowControl w:val="0"/>
        <w:spacing w:line="1" w:lineRule="exact"/>
        <w:sectPr>
          <w:footerReference w:type="default" r:id="rId7"/>
          <w:footerReference w:type="first" r:id="rId8"/>
          <w:footnotePr>
            <w:pos w:val="pageBottom"/>
            <w:numFmt w:val="decimal"/>
            <w:numRestart w:val="continuous"/>
          </w:footnotePr>
          <w:pgSz w:w="11900" w:h="16840"/>
          <w:pgMar w:top="586" w:right="394" w:bottom="1523" w:left="1594" w:header="0" w:footer="3" w:gutter="0"/>
          <w:pgNumType w:start="1"/>
          <w:cols w:space="720"/>
          <w:noEndnote/>
          <w:titlePg/>
          <w:rtlGutter w:val="0"/>
          <w:docGrid w:linePitch="360"/>
        </w:sectPr>
      </w:pP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880" w:right="0" w:firstLine="0"/>
        <w:jc w:val="both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1012190</wp:posOffset>
                </wp:positionH>
                <wp:positionV relativeFrom="paragraph">
                  <wp:posOffset>50800</wp:posOffset>
                </wp:positionV>
                <wp:extent cx="1923415" cy="231775"/>
                <wp:wrapSquare wrapText="bothSides"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923415" cy="23177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I Предписание 069/06/106-1158/2023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79.700000000000003pt;margin-top:4.pt;width:151.45000000000002pt;height:18.25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I Предписание 069/06/106-1158/2023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Оператор электронной площадки: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580" w:line="240" w:lineRule="auto"/>
        <w:ind w:left="5100" w:right="0" w:hanging="32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 «РТС-тендер» е-тай: ко@г(8-1епйег.ги (э)</w:t>
      </w:r>
    </w:p>
    <w:p>
      <w:pPr>
        <w:pStyle w:val="Style14"/>
        <w:keepNext/>
        <w:keepLines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ПРЕДПИСАНИЕ</w:t>
      </w:r>
      <w:bookmarkEnd w:id="0"/>
    </w:p>
    <w:p>
      <w:pPr>
        <w:pStyle w:val="Style14"/>
        <w:keepNext/>
        <w:keepLines/>
        <w:widowControl w:val="0"/>
        <w:shd w:val="clear" w:color="auto" w:fill="auto"/>
        <w:bidi w:val="0"/>
        <w:spacing w:before="0"/>
        <w:ind w:left="0" w:right="0" w:firstLine="0"/>
        <w:jc w:val="center"/>
      </w:pPr>
      <w:bookmarkStart w:id="2" w:name="bookmark2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делу № 069/06/106-1158/2023 о рассмотрении жалобы на нарушение</w:t>
        <w:br/>
        <w:t>законодательства о контрактной системе</w:t>
      </w:r>
      <w:bookmarkEnd w:id="2"/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Резолютивная часть решения оглашена «12» декабря 2023 г.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полном объеме решение изготовлено «15» декабря 2023 г.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4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г. Тверь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Управления Федеральной антимонопольной службы по Тверской области по контролю в сфере закупок (далее - Комиссия, Тверское УФАС России) в следующем составе: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 Комиссии: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Ключникова Е.В. - заместитель руководителя управления - начальник отдела контроля закупок,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Винницкая П.Д. - главный специалист-эксперт отдела контроля закупок,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Быков К.О. - ведущий специалист-эксперт отдела контроля закупок,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участии посредством видеоконференц-связи представителей: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Государственного бюджетного учреждения здравоохранения Тверской области "Областная клиническая больница" (далее - Заказчик): Максимовой Н.В. (по доверенности);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Комитета государственного заказа Тверской области (далее - Уполномоченный орган): Заикиной Н.М. (по доверенности);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 «Алькорфарм» (далее - Заявитель): Тимирбулатова М.А. (по решению),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4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рассмотрев посредством видеооконференц-связи, на основании решения от 12.12.2023 по делу № 069/06/106-1158/2023 и в соответствии с частью 8 статьи 106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660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ПРЕДПИСЫВАЕТ:</w:t>
      </w:r>
    </w:p>
    <w:p>
      <w:pPr>
        <w:pStyle w:val="Style16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both"/>
      </w:pPr>
      <w:bookmarkStart w:id="4" w:name="bookmark4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111111111111111111111111</w:t>
      </w:r>
      <w:bookmarkEnd w:id="4"/>
      <w:r>
        <w:br w:type="page"/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60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363" w:val="left"/>
        </w:tabs>
        <w:bidi w:val="0"/>
        <w:spacing w:before="0" w:after="0"/>
        <w:ind w:left="0" w:right="0" w:firstLine="70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Заказчику, Уполномоченному органа, комиссии по осуществлению закупок: отменить протокол подведения итогов определения поставщика (подрядчика, исполнителя);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- рассмотреть повторно заявки участников, в соответствии с требованиями законодательства Российской Федерации о контрактной системе в сфере закупок, а также с учетом решения Комиссии Тверского УФАС России от 12.12.2023 по делу № 069/06/106-1158/2023.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363" w:val="left"/>
        </w:tabs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Оператору электронной площадки обеспечить возможность исполнения Заказчиком и аукционной комиссией пункта 1 настоящего предписания.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363" w:val="left"/>
        </w:tabs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Заказчику, Уполномоченному органу, Аукционной комиссии, Оператору электронной площадки осуществить дальнейшее проведение процедуры определения поставщика (подрядчика, исполнителя) в соответствии с требованиями законодательства Российской Федерации о контрактной системе в сфере закупок и с учетом решения Комиссии Тверского УФАС России от 12.12.2023 по делу № 069/06/106-1158/2023.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363" w:val="left"/>
        </w:tabs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Заказчику, Аукционной комиссии, Оператору электронной площадки в срок до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15.01.2024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исполнить настоящее предписание и представить в Управление подтверждение исполнения настоящего предписания в письменном виде, а также электронной почте.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6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Примечание: Кодексом Российской Федерации об административных правонарушениях предусмотрена ответственность за неисполнение предписания органа исполнительной власти, уполномоченного на осуществление контроля в сфере закупок товаров, работ, услуг для обеспечения государственных и муниципальных нужд. В случае неисполнения предписания Тверское УФАС России вправе обратиться в суд, арбитражный суд с требованием о понуждении совершения действий, соответствующих законодательству Российской Федерации, с заявлением в защиту прав и законных интересов участников закупки.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6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Примечание: Кодексом Российской Федерации об административных правонарушениях предусмотрена ответственность за неисполнение предписания органа исполнительной власти, уполномоченного на осуществление контроля в сфере закупок товаров, работ, услуг для обеспечения государственных и муниципальных нужд. В случае неисполнения предписания Тверское УФАС России вправе обратиться в суд, арбитражный суд с требованием о понуждении совершения действий, соответствующих законодательству Российской Федерации, с заявлением в защиту прав и законных интересов участников закупки.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1060" w:line="252" w:lineRule="auto"/>
        <w:ind w:left="0" w:right="0" w:firstLine="700"/>
        <w:jc w:val="both"/>
      </w:pPr>
      <w:r>
        <w:drawing>
          <wp:anchor distT="0" distB="0" distL="114300" distR="114300" simplePos="0" relativeHeight="125829380" behindDoc="0" locked="0" layoutInCell="1" allowOverlap="1">
            <wp:simplePos x="0" y="0"/>
            <wp:positionH relativeFrom="page">
              <wp:posOffset>2858770</wp:posOffset>
            </wp:positionH>
            <wp:positionV relativeFrom="paragraph">
              <wp:posOffset>800100</wp:posOffset>
            </wp:positionV>
            <wp:extent cx="3194050" cy="1158240"/>
            <wp:wrapSquare wrapText="left"/>
            <wp:docPr id="9" name="Shap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box 10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3194050" cy="115824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Настоящее предписание в течение трех месяцев со дня его изготовления может быть обжаловано в Арбитражный суд Тверской области, находящийся по адресу: 170100 г. Тверь, пл. Святого Благоверного Князя Михаила Тверского, д. 5.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 Комиссии: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192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Исп.Винницкая П.Д.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тел.8(4822) 34-24-31, вн. 069-113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274" w:right="681" w:bottom="1604" w:left="1307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1" behindDoc="1" locked="0" layoutInCell="1" allowOverlap="1">
              <wp:simplePos x="0" y="0"/>
              <wp:positionH relativeFrom="page">
                <wp:posOffset>862330</wp:posOffset>
              </wp:positionH>
              <wp:positionV relativeFrom="page">
                <wp:posOffset>9748520</wp:posOffset>
              </wp:positionV>
              <wp:extent cx="692150" cy="103505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9215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1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ru-RU" w:eastAsia="ru-RU" w:bidi="ru-RU"/>
                            </w:rPr>
                            <w:t>2023-11333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margin-left:67.900000000000006pt;margin-top:767.60000000000002pt;width:54.5pt;height:8.1500000000000004pt;z-index:-188744062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1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ru-RU" w:eastAsia="ru-RU" w:bidi="ru-RU"/>
                      </w:rPr>
                      <w:t>2023-11333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3" behindDoc="1" locked="0" layoutInCell="1" allowOverlap="1">
              <wp:simplePos x="0" y="0"/>
              <wp:positionH relativeFrom="page">
                <wp:posOffset>1054735</wp:posOffset>
              </wp:positionH>
              <wp:positionV relativeFrom="page">
                <wp:posOffset>9662795</wp:posOffset>
              </wp:positionV>
              <wp:extent cx="692150" cy="103505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9215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1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ru-RU" w:eastAsia="ru-RU" w:bidi="ru-RU"/>
                            </w:rPr>
                            <w:t>2023-11333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83.049999999999997pt;margin-top:760.85000000000002pt;width:54.5pt;height:8.1500000000000004pt;z-index:-188744060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1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ru-RU" w:eastAsia="ru-RU" w:bidi="ru-RU"/>
                      </w:rPr>
                      <w:t>2023-11333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ru-RU" w:eastAsia="ru-RU" w:bidi="ru-RU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character" w:customStyle="1" w:styleId="CharStyle6">
    <w:name w:val="Основной текст (3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CharStyle8">
    <w:name w:val="Основной текст (4)_"/>
    <w:basedOn w:val="DefaultParagraphFont"/>
    <w:link w:val="Style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7"/>
      <w:szCs w:val="17"/>
      <w:u w:val="none"/>
    </w:rPr>
  </w:style>
  <w:style w:type="character" w:customStyle="1" w:styleId="CharStyle10">
    <w:name w:val="Основной текст_"/>
    <w:basedOn w:val="DefaultParagraphFont"/>
    <w:link w:val="Styl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12">
    <w:name w:val="Колонтитул (2)_"/>
    <w:basedOn w:val="DefaultParagraphFont"/>
    <w:link w:val="Style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5">
    <w:name w:val="Заголовок №2_"/>
    <w:basedOn w:val="DefaultParagraphFont"/>
    <w:link w:val="Style1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17">
    <w:name w:val="Заголовок №1_"/>
    <w:basedOn w:val="DefaultParagraphFont"/>
    <w:link w:val="Style16"/>
    <w:rPr>
      <w:rFonts w:ascii="Arial" w:eastAsia="Arial" w:hAnsi="Arial" w:cs="Arial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paragraph" w:customStyle="1" w:styleId="Style2">
    <w:name w:val="Основной текст (2)"/>
    <w:basedOn w:val="Normal"/>
    <w:link w:val="CharStyle3"/>
    <w:pPr>
      <w:widowControl w:val="0"/>
      <w:shd w:val="clear" w:color="auto" w:fill="auto"/>
      <w:spacing w:line="276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paragraph" w:customStyle="1" w:styleId="Style5">
    <w:name w:val="Основной текст (3)"/>
    <w:basedOn w:val="Normal"/>
    <w:link w:val="CharStyle6"/>
    <w:pPr>
      <w:widowControl w:val="0"/>
      <w:shd w:val="clear" w:color="auto" w:fill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paragraph" w:customStyle="1" w:styleId="Style7">
    <w:name w:val="Основной текст (4)"/>
    <w:basedOn w:val="Normal"/>
    <w:link w:val="CharStyle8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7"/>
      <w:szCs w:val="17"/>
      <w:u w:val="none"/>
    </w:rPr>
  </w:style>
  <w:style w:type="paragraph" w:customStyle="1" w:styleId="Style9">
    <w:name w:val="Основной текст"/>
    <w:basedOn w:val="Normal"/>
    <w:link w:val="CharStyle10"/>
    <w:pPr>
      <w:widowControl w:val="0"/>
      <w:shd w:val="clear" w:color="auto" w:fill="auto"/>
      <w:spacing w:line="254" w:lineRule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11">
    <w:name w:val="Колонтитул (2)"/>
    <w:basedOn w:val="Normal"/>
    <w:link w:val="CharStyle12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4">
    <w:name w:val="Заголовок №2"/>
    <w:basedOn w:val="Normal"/>
    <w:link w:val="CharStyle15"/>
    <w:pPr>
      <w:widowControl w:val="0"/>
      <w:shd w:val="clear" w:color="auto" w:fill="auto"/>
      <w:spacing w:after="240" w:line="252" w:lineRule="auto"/>
      <w:jc w:val="center"/>
      <w:outlineLvl w:val="1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paragraph" w:customStyle="1" w:styleId="Style16">
    <w:name w:val="Заголовок №1"/>
    <w:basedOn w:val="Normal"/>
    <w:link w:val="CharStyle17"/>
    <w:pPr>
      <w:widowControl w:val="0"/>
      <w:shd w:val="clear" w:color="auto" w:fill="auto"/>
      <w:spacing w:after="24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0"/>
      <w:szCs w:val="30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footer" Target="footer1.xml"/><Relationship Id="rId8" Type="http://schemas.openxmlformats.org/officeDocument/2006/relationships/footer" Target="footer2.xml"/><Relationship Id="rId9" Type="http://schemas.openxmlformats.org/officeDocument/2006/relationships/image" Target="media/image2.jpeg"/><Relationship Id="rId10" Type="http://schemas.openxmlformats.org/officeDocument/2006/relationships/image" Target="media/image2.jpeg" TargetMode="External"/></Relationships>
</file>

<file path=docProps/core.xml><?xml version="1.0" encoding="utf-8"?>
<cp:coreProperties xmlns:cp="http://schemas.openxmlformats.org/package/2006/metadata/core-properties" xmlns:dc="http://purl.org/dc/elements/1.1/">
  <dc:title>Отсканированное изображение</dc:title>
  <dc:subject>Отсканированное изображение</dc:subject>
  <dc:creator>NAPS2</dc:creator>
  <cp:keywords/>
</cp:coreProperties>
</file>