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1781175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53584/23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53584/23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150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4др150р1апоМе1@тай.ги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«Альянс - Мед»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а1уап8.тед1@уапдех.ги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ко@гоз1ез1огд.ги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654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077/06/106-17389/2023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 Председательствующего — главного государственного инспектора отдела обжалования государственных закупок С.И. Казарина, 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ГБУЗ «ДГП № 150 ДЗМ»: А.А. Григорьевой, Н.А. Феоктистовой (по доверенности №01-исх/4156 от 30.12.2022),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«Альянс - Мед», о времени и порядке заседания Комиссии Управления уведомленных надлежащим образом посредством размещения сведений в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«Альянс — Мед» (далее - Заявитель) на действия ГБУЗ «ДГП № 150 ДЗМ» (далее — Заказчик) при проведении электронного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аукциона на право заключения государственного контракта на поставку перчаток медицинских нестерильных (Закупка № 0373200075223000100) (далее -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52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 проведении закупки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своей жалобы Заявитель указывает, что в отличии от описания объекта закупочной процедуры документа «Техническое задание» извещение об осуществлении закупки не содержит показателей требуемых к поставке товаров, ввиду чего невозможно надлежащим образом сформировать и подать структурированную заявку на участие в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пп.4 п.14 Информационной карты заявка на участие в закупке должна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0" w:val="left"/>
        </w:tabs>
        <w:bidi w:val="0"/>
        <w:spacing w:before="0" w:after="0" w:line="295" w:lineRule="auto"/>
        <w:ind w:left="0" w:right="0" w:firstLine="72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62" w:right="537" w:bottom="754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несовместимость товаров, на которых размещаются другие товарные знаки, и необходимость обеспечения взаимодействия таких товаров с товарами,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2023-60986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 1 ст.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Заказчиком в документе «Техническое задание» установлены следующие требования к закупаемым товарам, в частности, по п.1 «Перчатки смотровые/процедурные нитриловые, неопудренные, нестерильные» по позиции КТРУ 22.19.60.119-00000008 документа «Техническое задание»: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1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«Обоснование дополнительных характеристик:</w:t>
        <w:tab/>
        <w:t>Дополнительные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характеристики, описанные в данной графе, должны быть представлены участником в составе заявки. Включение дополнительных характеристик обусловлено отсутствием в системе ЕАИСТ характеристик объекта закупки,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обусловлены потребностью Заказчика и дополняют характеристики закупаемого товара, не изменяя и не противореча характеристикам, указанным в КТРУ №22.19.60.119-00000008. Необходимо указать наименование предлагаемого товара в соответствии с регистрационным удостоверением. ГОСТ Р 52239-2004 - соответствие. Перчатки из нитрильного латекса, универсальной формы, без опудривания, без запаха, без смягчителей, увлажнителей и иных добавок, с манжетой, закатанной в плотно прилегающий валик, различного цветового спектра, кроме чёрного (указать цвет) (для индикации повреждения перчатки). Перчатки с полимерным покрытием или внутренняя поверхность обработана с помощью хлорирования, для облегчения надевания и предотвращения слипания. Толщина одной стенки ладонной части не менее 0,08 мм (указать точный параметр) для обеспечения устойчивости к механическим повреждениям и тактильной чувствительности. Перчатки в диспенсере, для удобства хранения и извлечения персоналом не более 100 пар в упаковке. Информация о цвете перчатки указана в Регистрационном удостоверении и/или на заводской упаковке (без применения стикеров, наклеек и т.д) и в иных документах (сведениях) размещенных в открытой части Государств.реестра медицинских изделий на сайте Росздравнадзора, для однозначной идентификации, а также распределения мед. изделия между персоналом, который по специфике работы использует данный вид перчаток. Класс потенциального риска применения - (указать) (в соответствии с ч. 2 статьи 38 Закона ^ 323-ФЗ от 21.11.2011 г., ГОСТ 31508-2012 и Приказом Минздрава России от 06.06.2012 № 4). Срок годности - не менее 12 месяцев на дату поставки -соответствие.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Характеристики: Материал: Нитрил. Поверхность: Без опудривания. Размер: 8. Манжета медицинского изделия с валиком: Наличие. Длина перчатки, от кончика среднего пальца до края манжеты: &gt;= 240 мм. Одинарная толщина среднего пальца перчатки: &gt;= 0.11 мм. Тип поверхности: Текстурированная на пальцах».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ходе заседания Комиссией Управления также установлено, что извещение об осуществлении закупки не содержит в полном объеме требуемых характеристик, изложенных Заказчиком в размещенном файле «Техническое задание», в частности характеристики, которые указаны в разделе «Обоснование дополнительных характеристик», например «Толщина одной стенки ладонной части не менее 0,08 мм (указать точный параметр) для обеспечения устойчивости к механическим повреждениям и тактильной чувствительности», «Перчатки в диспенсере, для удобства хранения и извлечения персоналом не более 100 пар в упаковке» и др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не согласился с доводом жалобы, пояснив, что Заказчиком надлежащим образом исполнены требования об описании объекта закупки. В свою очередь, российское законодательство устанавливает разные способы размещения в Единой информационной системы информации и документов, формируемых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использованием Единой информационной системы, в частности, размещен документ, сформированный без использования Единой информационной системы, «Техническое задание».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Заказчика, таким образом, в действиях Заказчика отсутствует нарушение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не может согласиться с позицией Заказчика, поскольку в соответствии с ч. 6 ст. 23 Закона о контрактной системе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использования каталога товаров, работ, услуг для обеспечения государственных и муниципальных нужд (далее — Правила).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позиции, изложенной в письме Минфина России от 25.09.2023 № 24- 03-09/90944, Постановление Правительства РФ от 27.01.2022 №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 (далее - Положение) устанавливает разные способы размещения в ЕИС информации и документов, формируемых с использованием ЕИС и сформированных без ее использования,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формирование информации и документов с использованием ЕИС осуществляется путем заполнения экранных форм веб-интерфейса ЕИС или путем представления в ЕИС электронного документа, содержащего сформированную информацию, посредством информационного взаимодействия (пункт 3 Положения); документы, сформированные без использования ЕИС, размещаются в ЕИС в форме электронного документа или образа бумажного документа (пункт 4 Положения).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осуществлении закупки товара, работы, услуги, в отношении которых в каталоге отсутствуют позиции, извещение об осуществлении которой размещено в ЕИС с 1 октября 2023: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описание объекта закупки в части характеристик, предусмотренных п. 1 ч. 1 ст. 33 Закона о контрактной системе, указывается в формируемом с использованием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ЕИС извещении об осуществлении закупки на основании п. 5 ч. 1 ст. 42 Закона о контрактной системе с учетом пункта 3 Положения;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закупки, включающее также характеристики, предусмотренные пунктом 1 части 1 статьи 33 Закона о контрактной системе (то есть, полное описание объекта закупки), прилагается к извещению в качестве документа, сформированного без использования ЕИС.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как установлено выше Комиссией Управления, описание объекта закупки, определенное Заказчиком в извещении об осуществлении закупки, полностью не содержит описание объекта закупки, позволяющее участнику сформировать при подаче заявки с помощью структурированной формы с учетом всех требований и показателей, отраженных в приложении к извещению о проведении аукциона (файл «Техническое задание»).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по своей сути раздел «Обоснование дополнительных характеристик» не подразумевает указание в таком разделе требований к характеристикам закупаемого товара, так как, исходя из наименования, данный раздел содержит в своем составе исключительно обоснование использования дополнительных значений параметров, используемых Заказчиком при описании объекта закупки, в то время как требования к характеристикам закупаемого изделия подлежат формированию в разделе «Характеристики».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формирования информации и документов с использованием ЕИС осуществляется путем заполнения экранных форм веб-интерфейса ЕИС или путем представления в ЕИС электронного документа, содержащего сформированную информацию, посредством информационного взаимодействия.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Формирование информации и документов с использованием ЕИС осуществляется путем заполнения экранных форм веб-интерфейса ЕИС. При формировании извещения о проведении электронного аукциона в ЕИС Заказчику требовалось указать характеристики к закупаемой продукции со значениями этих характеристик.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заполняемом в структурированном виде описании объекта закупки Заказчиком неправомерно не установлен весь перечень характеристик к закупаемой продукции, сведения о которых содержатся в Техническом задании, предусмотренные в том числе приложением № 1 к Техническому заданию, что в свою очередь препятствует правомерному формированию структурированной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всего вышеизложенного, на основании имеющихся документов и сведений, Комиссия Управления приходит к выводу о нарушении Заказчиком положений ч.1 ст.33, ч.1 ст.42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административным регламентом Законом о контрактной системе, Комиссия Управления</w:t>
      </w:r>
      <w:r>
        <w:br w:type="page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«Альянс - Мед» на действия ГБУЗ «ДГП № 150 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ч.1 ст.33,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115" w:left="10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1295" distL="0" distR="0" simplePos="0" relativeHeight="125829381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330200</wp:posOffset>
                </wp:positionV>
                <wp:extent cx="18961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550000000000004pt;margin-top:26.pt;width:149.30000000000001pt;height:19.900000000000002pt;z-index:-125829372;mso-wrap-distance-left:0;mso-wrap-distance-top:2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4815" distB="0" distL="0" distR="1804670" simplePos="0" relativeHeight="125829383" behindDoc="0" locked="0" layoutInCell="1" allowOverlap="1">
            <wp:simplePos x="0" y="0"/>
            <wp:positionH relativeFrom="page">
              <wp:posOffset>3111500</wp:posOffset>
            </wp:positionH>
            <wp:positionV relativeFrom="paragraph">
              <wp:posOffset>424815</wp:posOffset>
            </wp:positionV>
            <wp:extent cx="311150" cy="3594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3504565</wp:posOffset>
                </wp:positionH>
                <wp:positionV relativeFrom="paragraph">
                  <wp:posOffset>494665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5.94999999999999pt;margin-top:38.95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1295" distL="0" distR="0" simplePos="0" relativeHeight="125829384" behindDoc="0" locked="0" layoutInCell="1" allowOverlap="1">
                <wp:simplePos x="0" y="0"/>
                <wp:positionH relativeFrom="page">
                  <wp:posOffset>6180455</wp:posOffset>
                </wp:positionH>
                <wp:positionV relativeFrom="paragraph">
                  <wp:posOffset>330200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65000000000003pt;margin-top:26.pt;width:81.100000000000009pt;height:19.900000000000002pt;z-index:-125829369;mso-wrap-distance-left:0;mso-wrap-distance-top:2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00" w:right="0" w:firstLine="0"/>
        <w:jc w:val="left"/>
        <w:rPr>
          <w:sz w:val="11"/>
          <w:szCs w:val="11"/>
        </w:rPr>
      </w:pPr>
      <w:r>
        <w:rPr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О </w:t>
      </w:r>
      <w:r>
        <w:rPr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00СА17306423В8С790А31806189СОЕ338Е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580" w:right="0" w:firstLine="0"/>
        <w:jc w:val="lef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3111500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3504565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5.94999999999999pt;margin-top:11.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0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0ОСС5А1А1С3030775Е8423Е11867182162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по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02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3089910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3547110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9.30000000000001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3504565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5.94999999999999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0018Е97СЕ55В5023ВСС0395Е903С1035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42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10278110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2023-60986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809.3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2023-60986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2023-60986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2023-60986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415290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25pt;margin-top:32.7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80000000000001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300" w:line="245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spacing w:after="40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