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3557270</wp:posOffset>
            </wp:positionH>
            <wp:positionV relativeFrom="paragraph">
              <wp:posOffset>139700</wp:posOffset>
            </wp:positionV>
            <wp:extent cx="572770" cy="676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758CB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0"/>
        <w:jc w:val="center"/>
        <w:rPr>
          <w:sz w:val="26"/>
          <w:szCs w:val="26"/>
        </w:rPr>
      </w:pPr>
      <w:r>
        <w:rPr>
          <w:color w:val="758CB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0"/>
        <w:jc w:val="center"/>
        <w:rPr>
          <w:sz w:val="26"/>
          <w:szCs w:val="26"/>
        </w:rPr>
      </w:pPr>
      <w:r>
        <w:rPr>
          <w:color w:val="758CB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тел.; (843) 236-89-22, факс (843) 238-19-46</w:t>
        <w:br/>
        <w:t>е-таП: (о16@4'а8.§оу.ги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6" w:lineRule="auto"/>
        <w:ind w:left="0" w:right="0" w:firstLine="0"/>
        <w:jc w:val="center"/>
        <w:rPr>
          <w:sz w:val="26"/>
          <w:szCs w:val="26"/>
        </w:rPr>
      </w:pPr>
      <w:r>
        <w:rPr>
          <w:color w:val="758CB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МОНОПОЛИЯГО КАРШЫ</w:t>
        <w:br/>
        <w:t>ФЕДЕРАЛЬ ХЕЗМОТ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1" w:lineRule="auto"/>
        <w:ind w:left="0" w:right="0" w:firstLine="0"/>
        <w:jc w:val="center"/>
        <w:rPr>
          <w:sz w:val="26"/>
          <w:szCs w:val="26"/>
        </w:rPr>
      </w:pPr>
      <w:r>
        <w:rPr>
          <w:color w:val="758CB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Монополиягэ карты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856" w:right="1383" w:bottom="1089" w:left="1149" w:header="428" w:footer="661" w:gutter="0"/>
          <w:pgNumType w:start="1"/>
          <w:cols w:num="2" w:space="720" w:equalWidth="0">
            <w:col w:w="3712" w:space="2437"/>
            <w:col w:w="3218"/>
          </w:cols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йорт. Казан шэЪэре, 420021</w:t>
        <w:br/>
        <w:t>тел.: (843) 236-89-22, факс (843) 238-19-46</w:t>
        <w:br/>
        <w:t>е-тай: 1о16@Га8.§о\'.ги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0" w:bottom="11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758CB2"/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ВЫСШЕГО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ОБРАЗОВАНИЯ "КАЗАНСКИЙ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НАЦИОНАЛЬНЫЙ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ИССЛЕДОВАТЕЛЬСКИЙ ТЕХНОЛОГИЧЕСКИЙ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УНИВЕРСИТЕТ"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2акирк1@согр.кпг1и.ги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Хафизов Р.Р.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ТаЛек 16@%таП. сот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016/06/31-1751/2023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84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 декабря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 А.А. 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ГР. - ведущего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60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649" w:bottom="1108" w:left="104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Габдулхаевой А.А.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 ФЕДЕРАЛЬНОЕ ГОСУДАРСТВЕННОЕ БЮДЖЕТНОЕ ОБРАЗОВАТЕЛЬНОЕ УЧРЕЖДЕНИЕ ВЫСШЕГО ОБРАЗОВАНИЯ "КАЗАНСКИЙ НАЦИОНАЛЬНЫЙ ИССЛЕДОВАТЕЛЬСКИЙ ТЕХНОЛОГИЧЕСКИЙ УНИВЕРСИТЕТ" - Панина С.Ю. (по доверенности от 17.08.2022 г.), в отсутствии представителя заявителя ИП Хафизова Р.Р., надлежащим образом извещенного, рассмотрев по видеоконференции жалобу заявителя ИП Хафизова Р.Р. (вх. №13154/ж от 08.12.2023г.) (в ЕИС 08.12.2023) на действия заказчика при проведении закупки по извещению №0311100016923000212 на предмет: Поставка противопожарных металлических дверей для ФГБОУ ВО "КНИГУ",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в электронной форме № 0311100016923000212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\у\у\у.7акиркгцоу.ги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30.11.2023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- 1011 906,91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закупка проводится с нарушениями норм действующего законодательства, а именно: заказчиком неправомерно установлено требование о наличии действующей лицензии.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доводами, изложенными в жалобе, не согласился, были представлены письменные пояснения и документы, приобщенные к материалам дела.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 на действия уполномоченного органа, заказчика и изучения документации электронного аукциона приходит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части 1 статьи 31 Закона о контрактной системе при осуществлении закупки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37" w:right="649" w:bottom="1108" w:left="104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 1 настоящего Федерального закона, и исчерпывающий перечень документов, подтверждающих соответствие участника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3 Извещения и пп. 1.2.1 «Требований к содержанию, составу заявки на участие в закупке и инструкции по ее заполнению» (приложение №4 к Извещению) Заказчиком установлено требование о наличии действующей лицензии. Участник закупки должен предоставить в составе заявки выписку из реестра лицензий, либо копию акта лицензирующего органа о принятом решении о предоставлении лицензии.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и изучения материалов дела, пояснений заказчика, Комиссия Татарстанского УФАС пришла к следующему.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Заказчика, предметом закупки является не только поставка, но и монтаж противопожарных металлических дверей, что указано в проекте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согласно п. 2.3 проекта контракта установлено, что цена контракта определена за полное выполнение Поставщиком своих обязательств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 демонтажу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старых дверей,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поставке и монтажу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всего объема товара по Контракту и оказанию сопутствующих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в описании объекта закупки (Приложение №1 к извещению), содержатся условия выполнения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монтажных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15 ч. 1 ст. 12 Федерального закона от 04.05.2011 № 99-ФЗ «О лицензировании отдельных видов деятельности», в перечень видов деятельности, на которые требуются лицензии включена деятельность по монтажу, техническому обслуживанию и ремонту средств обеспечения пожарной безопасности зданий и сооружений.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правомерно установлено требование о наличие действующей лицензии в связи с тем, что предметом закупки является не только поставка, но и демонтаж и монтаж противопожарных дверей.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подано 7 заявок, что свидетельствует об отсутствии ограничения конкуренции. У Победителя закупки имеется действующая лицензия.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Учитывая, что выявленные нарушения не повлияли на результат определения победителя, Комиссия решила предписание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И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заявителя ИП Хафизова Р.Р. (вх. №13154/ж от 08.12.2023г.) (в ЕИС 08.12.2023) на действия заказчика при проведении закупки по извещению №0311100016923000212 на предмет: Поставка противопожарных металлических дверей для ФГБОУ ВО "КНИТУ», необоснованной.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Предписание об устранении нарушений действующего законодательства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37" w:right="649" w:bottom="1108" w:left="1041" w:header="0" w:footer="680" w:gutter="0"/>
          <w:pgNumType w:start="3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56335" distB="594360" distL="0" distR="0" simplePos="0" relativeHeight="125829379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1156335</wp:posOffset>
                </wp:positionV>
                <wp:extent cx="1927225" cy="6286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7225" cy="628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9.149999999999999pt;margin-top:91.049999999999997pt;width:151.75pt;height:49.5pt;z-index:-125829374;mso-wrap-distance-left:0;mso-wrap-distance-top:91.049999999999997pt;mso-wrap-distance-right:0;mso-wrap-distance-bottom:46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6400" distB="0" distL="0" distR="791210" simplePos="0" relativeHeight="125829381" behindDoc="0" locked="0" layoutInCell="1" allowOverlap="1">
            <wp:simplePos x="0" y="0"/>
            <wp:positionH relativeFrom="page">
              <wp:posOffset>3745865</wp:posOffset>
            </wp:positionH>
            <wp:positionV relativeFrom="paragraph">
              <wp:posOffset>406400</wp:posOffset>
            </wp:positionV>
            <wp:extent cx="2505710" cy="197485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05710" cy="19748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6040755</wp:posOffset>
                </wp:positionH>
                <wp:positionV relativeFrom="paragraph">
                  <wp:posOffset>1158240</wp:posOffset>
                </wp:positionV>
                <wp:extent cx="1003300" cy="22415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Яфизов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5.65000000000003pt;margin-top:91.200000000000003pt;width:79.pt;height:17.6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Яфизов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67815" distB="587375" distL="0" distR="0" simplePos="0" relativeHeight="125829382" behindDoc="0" locked="0" layoutInCell="1" allowOverlap="1">
                <wp:simplePos x="0" y="0"/>
                <wp:positionH relativeFrom="page">
                  <wp:posOffset>6004560</wp:posOffset>
                </wp:positionH>
                <wp:positionV relativeFrom="paragraph">
                  <wp:posOffset>1567815</wp:posOffset>
                </wp:positionV>
                <wp:extent cx="1037590" cy="22415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75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ЕР. Курмаева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2.80000000000001pt;margin-top:123.45pt;width:81.700000000000003pt;height:17.650000000000002pt;z-index:-125829371;mso-wrap-distance-left:0;mso-wrap-distance-top:123.45pt;mso-wrap-distance-right:0;mso-wrap-distance-bottom:46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ЕР. Курмаева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76755" distB="178435" distL="0" distR="0" simplePos="0" relativeHeight="125829384" behindDoc="0" locked="0" layoutInCell="1" allowOverlap="1">
                <wp:simplePos x="0" y="0"/>
                <wp:positionH relativeFrom="page">
                  <wp:posOffset>5997575</wp:posOffset>
                </wp:positionH>
                <wp:positionV relativeFrom="paragraph">
                  <wp:posOffset>1976755</wp:posOffset>
                </wp:positionV>
                <wp:extent cx="1223010" cy="22415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30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.А. Габдулхаева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2.25pt;margin-top:155.65000000000001pt;width:96.299999999999997pt;height:17.650000000000002pt;z-index:-125829369;mso-wrap-distance-left:0;mso-wrap-distance-top:155.65000000000001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.А. Габдулхаева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3" w:right="0" w:bottom="13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Исп.:Курмаева Г.Р.(843) 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03" w:right="590" w:bottom="1303" w:left="117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830580</wp:posOffset>
              </wp:positionH>
              <wp:positionV relativeFrom="page">
                <wp:posOffset>10140950</wp:posOffset>
              </wp:positionV>
              <wp:extent cx="564515" cy="12128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212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230747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5.400000000000006pt;margin-top:798.5pt;width:44.450000000000003pt;height:9.55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230747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3868420</wp:posOffset>
              </wp:positionH>
              <wp:positionV relativeFrom="page">
                <wp:posOffset>422910</wp:posOffset>
              </wp:positionV>
              <wp:extent cx="64135" cy="1168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4.60000000000002pt;margin-top:33.299999999999997pt;width:5.0499999999999998pt;height:9.200000000000001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3862705</wp:posOffset>
              </wp:positionH>
              <wp:positionV relativeFrom="page">
                <wp:posOffset>407035</wp:posOffset>
              </wp:positionV>
              <wp:extent cx="54610" cy="10731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4.15000000000003pt;margin-top:32.049999999999997pt;width:4.2999999999999998pt;height:8.4499999999999993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58CB2"/>
      <w:sz w:val="15"/>
      <w:szCs w:val="15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58CB2"/>
      <w:sz w:val="15"/>
      <w:szCs w:val="15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1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