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line="240" w:lineRule="auto"/>
        <w:ind w:left="0" w:right="0" w:firstLine="0"/>
        <w:jc w:val="both"/>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09.11.2023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47813/23</w:t>
      </w:r>
      <w:bookmarkEnd w:id="0"/>
    </w:p>
    <w:p>
      <w:pPr>
        <w:widowControl w:val="0"/>
        <w:jc w:val="center"/>
        <w:rPr>
          <w:sz w:val="2"/>
          <w:szCs w:val="2"/>
        </w:rPr>
      </w:pPr>
      <w:r>
        <w:drawing>
          <wp:inline>
            <wp:extent cx="2597150" cy="70104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pic:blipFill>
                  <pic:spPr>
                    <a:xfrm>
                      <a:ext cx="2597150" cy="701040"/>
                    </a:xfrm>
                    <a:prstGeom prst="rect"/>
                  </pic:spPr>
                </pic:pic>
              </a:graphicData>
            </a:graphic>
          </wp:inline>
        </w:drawing>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«АЗ (КС) ДЗМ»</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а/1&lt;8@/с1га\лто8.П1</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Департамент города Москвы по конкурентной политике</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то81епдег@то8.гн</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«Система»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11с-8181е1та@уа1к1е.х.П1</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ПАО «Промсвязьбанк»</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тГо@р8Ъапк.гн</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645" w:bottom="708" w:left="1269" w:header="0" w:footer="3" w:gutter="0"/>
          <w:cols w:num="2" w:space="1286"/>
          <w:noEndnote/>
          <w:rtlGutter w:val="0"/>
          <w:docGrid w:linePitch="360"/>
        </w:sectPr>
      </w:pPr>
      <w:r>
        <w:rPr>
          <w:color w:val="000000"/>
          <w:spacing w:val="0"/>
          <w:w w:val="100"/>
          <w:position w:val="0"/>
          <w:shd w:val="clear" w:color="auto" w:fill="auto"/>
          <w:lang w:val="ru-RU" w:eastAsia="ru-RU" w:bidi="ru-RU"/>
        </w:rPr>
        <w:t>ко@го81е81огд.гн</w:t>
      </w:r>
    </w:p>
    <w:p>
      <w:pPr>
        <w:widowControl w:val="0"/>
        <w:spacing w:line="240" w:lineRule="exact"/>
        <w:rPr>
          <w:sz w:val="19"/>
          <w:szCs w:val="19"/>
        </w:r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9" w:right="0" w:bottom="766" w:left="0" w:header="0" w:footer="3" w:gutter="0"/>
          <w:cols w:space="720"/>
          <w:noEndnote/>
          <w:rtlGutter w:val="0"/>
          <w:docGrid w:linePitch="360"/>
        </w:sectPr>
      </w:pPr>
    </w:p>
    <w:p>
      <w:pPr>
        <w:pStyle w:val="Style12"/>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 077/06/106-14976/2023 о нарушении</w:t>
        <w:br/>
        <w:t>законодательства о контрактной системе</w:t>
        <w:br/>
        <w:t>03.11.2023</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 Председательствующего — главного государственного инспектора отдела обжалования государственных закупок Е.А. Мироновой, Члены Комиссии: Главного специалиста-эксперта отдела обжалования государственных закупок А.А. Матюшенко, Специалиста-эксперта отдела обжалования государственных закупок М.В. Сорбучевой, рассмотрение жалобы проводилось дистанционно (посредством видеоконференцсвязи), при участии представителя: Департамента города Москвы по конкурентной политике: Е.В. Зайцевой (по доверенности №77-13-1/23-23 от 16.03.2023), В.В. Шуматиевой (по доверенности №77-13-1/23-43 от 03.10.2023), ГКУ «АЗ (КС) ДЗМ»: Л.Г. Ефтени (по доверенности №3 от 09.01.2023),</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3"/>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«Система»: В.В. Бочковского (по доверенности №2-10/2023 от 09.01.2023),</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ПАО «Промсвязьбанк»: И.В. Бунина (по доверенности №762 от 05.07.2022),</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рассмотрев жалобу ООО «Система» (далее — Заявитель) на действия ГКУ «АЗ (КС) ДЗМ» (далее — Заказчик) при проведении электронного аукциона на право заключения государственного контракта на поставку аналитического оборудования, в рамках реализации Государственной программы города Москвы «Развитие здравоохранения города Москвы (Столичное здравоохранение)» (МО2023-99) (Закупка № 0173200001423001548) (далее - аукцион, электронный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26.10.2023 №ИЭА1 заявка ООО «Система» с идентификационным номером 3 отклонена на следующем основании: «</w:t>
      </w:r>
      <w:r>
        <w:rPr>
          <w:i/>
          <w:iCs/>
          <w:color w:val="000000"/>
          <w:spacing w:val="0"/>
          <w:w w:val="100"/>
          <w:position w:val="0"/>
          <w:shd w:val="clear" w:color="auto" w:fill="auto"/>
          <w:lang w:val="ru-RU" w:eastAsia="ru-RU" w:bidi="ru-RU"/>
        </w:rPr>
        <w:t>Заявка участника признана не соответствующей требованиям на основании пп. «а» п.1 ч.5 ст. 49 и п.7 ч.12 ст. 48 Федерального закона от 05.04.2013 ^ 44-ФЗ «О контрактной системе в сфере закупок товаров, работ, услуг для обеспечения государственных и муниципальных нужд» и информационной карты по проведению аукциона в электронной форме (п.19.1 раздела III. Размер и порядок обеспечения заявок на участие в закупке, обеспечения исполнения контракта.»), а именно:</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В соответствии с требованием аукционной документации Независимая гарантия, выданная участнику закупки для целей обеспечения заявки на участие в закупке, должна соответствовать требованиям статьи 45 Федерального закона, постановления Правительства Российской Федерации от 08.11.2013 г. № 1005.</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Согласно подпункту «а» пункта 16.1 Независимой гарантии участника такая независимая гарантия может быть изменена гарантом в следующем порядке:</w:t>
      </w:r>
    </w:p>
    <w:p>
      <w:pPr>
        <w:pStyle w:val="Style12"/>
        <w:keepNext w:val="0"/>
        <w:keepLines w:val="0"/>
        <w:widowControl w:val="0"/>
        <w:shd w:val="clear" w:color="auto" w:fill="auto"/>
        <w:bidi w:val="0"/>
        <w:spacing w:before="0" w:after="260" w:line="269" w:lineRule="auto"/>
        <w:ind w:left="0" w:right="0" w:firstLine="720"/>
        <w:jc w:val="both"/>
        <w:rPr>
          <w:sz w:val="24"/>
          <w:szCs w:val="24"/>
        </w:rPr>
        <w:sectPr>
          <w:footnotePr>
            <w:pos w:val="pageBottom"/>
            <w:numFmt w:val="decimal"/>
            <w:numRestart w:val="continuous"/>
          </w:footnotePr>
          <w:type w:val="continuous"/>
          <w:pgSz w:w="11900" w:h="16840"/>
          <w:pgMar w:top="1079" w:right="532" w:bottom="766" w:left="1092" w:header="0" w:footer="3" w:gutter="0"/>
          <w:cols w:space="720"/>
          <w:noEndnote/>
          <w:rtlGutter w:val="0"/>
          <w:docGrid w:linePitch="360"/>
        </w:sectPr>
      </w:pPr>
      <w:r>
        <w:rPr>
          <w:i/>
          <w:iCs/>
          <w:color w:val="000000"/>
          <w:spacing w:val="0"/>
          <w:w w:val="100"/>
          <w:position w:val="0"/>
          <w:sz w:val="28"/>
          <w:szCs w:val="28"/>
          <w:shd w:val="clear" w:color="auto" w:fill="auto"/>
          <w:lang w:val="ru-RU" w:eastAsia="ru-RU" w:bidi="ru-RU"/>
        </w:rPr>
        <w:t xml:space="preserve">а) изменения в настоящую независимую гарантию, связанные с увеличением суммы и (или) срока действия настоящей независимой гарантии, а также изменения, связанные с исправлением ошибок в части несоответствия условиям, указанным в извещении об осуществлении закупки, приглашении принять участие в определении поставщика (подрядчика, исполнителя), документации о закупке (в </w:t>
      </w:r>
      <w:r>
        <w:rPr>
          <w:color w:val="000000"/>
          <w:spacing w:val="0"/>
          <w:w w:val="100"/>
          <w:position w:val="0"/>
          <w:sz w:val="24"/>
          <w:szCs w:val="24"/>
          <w:shd w:val="clear" w:color="auto" w:fill="auto"/>
          <w:lang w:val="ru-RU" w:eastAsia="ru-RU" w:bidi="ru-RU"/>
        </w:rPr>
        <w:t>2023-54233</w:t>
      </w:r>
    </w:p>
    <w:p>
      <w:pPr>
        <w:pStyle w:val="Style1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проекте контракта, заключаемого с единственным поставщиком (подрядчиком, исполнителем) (при наличии), не требуют согласия бенефициара и вступают в силу в дату выпуска гарантом изменений в настоящую независимую гарантию.</w:t>
      </w:r>
    </w:p>
    <w:p>
      <w:pPr>
        <w:pStyle w:val="Style1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Данное требование не предусмотрено постановлением Правительства Российской Федерации от 08.11.2013 г. № 1005.</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п.16 ч.1 ст.42 Закона о контрактной системе извещение об осуществлении закупки должно содержать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ст.44 Закона о контрактной системе),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ч.13 ст.44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ст.45 Закона о контрактной системе. Выбор способа обеспечения осуществляется участником закупки самостоятельно.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Заявителем в качестве обеспечения заявки представлена независимая гарантия № 36143-23-10 от 17.10.2023, выданная ПАО «Промсвязьбанк» (далее — независимая гарантия).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Ч.2 ст. 45 Закона о контрактной системе установлен перечень информации, которую должна содержать независимая гарантия.</w:t>
      </w:r>
    </w:p>
    <w:p>
      <w:pPr>
        <w:pStyle w:val="Style12"/>
        <w:keepNext w:val="0"/>
        <w:keepLines w:val="0"/>
        <w:widowControl w:val="0"/>
        <w:shd w:val="clear" w:color="auto" w:fill="auto"/>
        <w:tabs>
          <w:tab w:pos="2078" w:val="left"/>
          <w:tab w:pos="2914" w:val="left"/>
          <w:tab w:pos="4795" w:val="left"/>
          <w:tab w:pos="6955" w:val="left"/>
          <w:tab w:pos="8002" w:val="left"/>
          <w:tab w:pos="84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п.19.1 информационной карты извещения Заказчиком установлены следующее требования к независимой гарантии, представляемой в качестве обеспечения заявки на участие в закупке: «Независимая гарантия, выданная участнику закупки банком, государственной корпорацией развития «ВЭБ.РФ», фондами содействия кредитованию, Евразийским банком развития (если участник закупки является юридическим лицом, зарегистрированным на территории государства -</w:t>
        <w:tab/>
        <w:t>члена</w:t>
        <w:tab/>
        <w:t>Евразийского</w:t>
        <w:tab/>
        <w:t>экономического</w:t>
        <w:tab/>
        <w:t>союза,</w:t>
        <w:tab/>
        <w:t>за</w:t>
        <w:tab/>
        <w:t>исключением</w:t>
      </w:r>
    </w:p>
    <w:p>
      <w:pPr>
        <w:pStyle w:val="Style12"/>
        <w:keepNext w:val="0"/>
        <w:keepLines w:val="0"/>
        <w:widowControl w:val="0"/>
        <w:shd w:val="clear" w:color="auto" w:fill="auto"/>
        <w:tabs>
          <w:tab w:pos="2078" w:val="left"/>
          <w:tab w:pos="2914" w:val="left"/>
          <w:tab w:pos="4795" w:val="left"/>
          <w:tab w:pos="6955" w:val="left"/>
          <w:tab w:pos="8002" w:val="left"/>
          <w:tab w:pos="8486" w:val="left"/>
        </w:tabs>
        <w:bidi w:val="0"/>
        <w:spacing w:before="0" w:after="0" w:line="240" w:lineRule="auto"/>
        <w:ind w:left="0" w:right="0" w:firstLine="0"/>
        <w:jc w:val="both"/>
      </w:pPr>
      <w:r>
        <w:rPr>
          <w:color w:val="000000"/>
          <w:spacing w:val="0"/>
          <w:w w:val="100"/>
          <w:position w:val="0"/>
          <w:shd w:val="clear" w:color="auto" w:fill="auto"/>
          <w:lang w:val="ru-RU" w:eastAsia="ru-RU" w:bidi="ru-RU"/>
        </w:rPr>
        <w:t>Российской Федерации, или физическим лицом, являющимся гражданином государства -</w:t>
        <w:tab/>
        <w:t>члена</w:t>
        <w:tab/>
        <w:t>Евразийского</w:t>
        <w:tab/>
        <w:t>экономического</w:t>
        <w:tab/>
        <w:t>союза,</w:t>
        <w:tab/>
        <w:t>за</w:t>
        <w:tab/>
        <w:t>исключением</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Российской Федерации), для целей обеспечения заявки на участие в закупке, должна соответствовать требованиям статьи 45 Закона о контрактной системе, постановления Правительства Российской Федерации от 08.11.2013 г. № 1005. Независимая гарантия должна в том числе содержать:</w:t>
      </w:r>
    </w:p>
    <w:p>
      <w:pPr>
        <w:pStyle w:val="Style12"/>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указание на то, что все споры по независимой гарантии подлежат рассмотрению в Арбитражном суде города Москвы.</w:t>
      </w:r>
    </w:p>
    <w:p>
      <w:pPr>
        <w:pStyle w:val="Style12"/>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Срок действия независимой гарантии, предоставленной в качестве обеспечения заявки, должен составлять».</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ч.8.2 ст.45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о контрактной системе, форма требования об уплате денежной суммы по независимой гарантии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согласно Постановлению № 1005 утверждены в том числе:</w:t>
      </w:r>
    </w:p>
    <w:p>
      <w:pPr>
        <w:pStyle w:val="Style12"/>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дополнительные требования к независимой гарантии, используемой для целей Закона о контрактной системе (далее - Дополнительные требования);</w:t>
      </w:r>
    </w:p>
    <w:p>
      <w:pPr>
        <w:pStyle w:val="Style12"/>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абз.9 Типовой формы дополнительные условия не должны противоречить положениям извещения об осуществлении закупки, приглашения принять участие в определении поставщика (подрядчика, исполнителя), документации о закупке (в случае если Законом о контрактной системе предусмотрена документация о закупке), проекта контракта, заключаемого с единственным поставщиком (подрядчиком, исполнителем) (при наличии).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ч.5 ст.45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Законом о контрактной системе не установлено иное.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ч.6 ст.45 Закона о контрактной системе основанием для отказа в принятии банковской гарантии заказчиком является:</w:t>
      </w:r>
    </w:p>
    <w:p>
      <w:pPr>
        <w:pStyle w:val="Style12"/>
        <w:keepNext w:val="0"/>
        <w:keepLines w:val="0"/>
        <w:widowControl w:val="0"/>
        <w:numPr>
          <w:ilvl w:val="0"/>
          <w:numId w:val="3"/>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отсутствие информации о независимой гарантии в предусмотренных настоящей статьей реестрах независимых гарантий;</w:t>
      </w:r>
    </w:p>
    <w:p>
      <w:pPr>
        <w:pStyle w:val="Style12"/>
        <w:keepNext w:val="0"/>
        <w:keepLines w:val="0"/>
        <w:widowControl w:val="0"/>
        <w:numPr>
          <w:ilvl w:val="0"/>
          <w:numId w:val="3"/>
        </w:numPr>
        <w:shd w:val="clear" w:color="auto" w:fill="auto"/>
        <w:tabs>
          <w:tab w:pos="10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несоответствие независимой гарантии требованиям, предусмотренным частями 2, 3 и 8.2 ст.45 Закона о контрактной системе;</w:t>
      </w:r>
    </w:p>
    <w:p>
      <w:pPr>
        <w:pStyle w:val="Style12"/>
        <w:keepNext w:val="0"/>
        <w:keepLines w:val="0"/>
        <w:widowControl w:val="0"/>
        <w:numPr>
          <w:ilvl w:val="0"/>
          <w:numId w:val="3"/>
        </w:numPr>
        <w:shd w:val="clear" w:color="auto" w:fill="auto"/>
        <w:tabs>
          <w:tab w:pos="1057" w:val="left"/>
        </w:tabs>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37" w:bottom="1436" w:left="1100" w:header="0" w:footer="3" w:gutter="0"/>
          <w:cols w:space="720"/>
          <w:noEndnote/>
          <w:rtlGutter w:val="0"/>
          <w:docGrid w:linePitch="360"/>
        </w:sectPr>
      </w:pPr>
      <w:r>
        <w:rPr>
          <w:color w:val="000000"/>
          <w:spacing w:val="0"/>
          <w:w w:val="100"/>
          <w:position w:val="0"/>
          <w:shd w:val="clear" w:color="auto" w:fill="auto"/>
          <w:lang w:val="ru-RU" w:eastAsia="ru-RU" w:bidi="ru-RU"/>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 12 ст. 48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представленная Заявителем независимая гарантия содержит требования противоречащие извещению, в частности положения п.16.1 независимой гарантии: которые напрямую влекут ограничения прав Заказчика.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п.16.1 независимой гарантии указано: «Настоящая независимая гарантия может быть изменена гарантом в следующем порядке:</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а) изменения в настоящую независимую гарантию, связанные с увеличением суммы и (или) срока действия настоящей независимой гарантии, а также изменения, связанные с исправлением ошибок в части несоответствия условиям, указанным в извещении об осуществлении закупки, приглашении принять участие в определении поставщика (подрядчика, исполнителя),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проекте контракта, заключаемого с единственным поставщиком (подрядчиком, исполнителем) (при наличии), не требуют согласия бенефициара и вступают в силу в дату выпуска гарантом изменений в настоящую независимую гарантию.</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иные изменения в настоящую независимую гарантию требуют согласия бенефициара и вступают в силу в дату получения гарантом согласия бенефициара на соответствующее изменение настоящей независимой гарантии».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независимая гарантия, выданная ПАО «Промсвязьбанк», противоречит п.19.1 информационной карты извещения, что не соответствует положениям п.9 Типовой формы.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представитель ПАО «Промсвязьбанк» отметил, что в соответствии с положениями Гражданского Кодекса Российской Федерации и Постановления №1005 допускается возможность внесения изменений гарантом в условия независимой гарантии.</w:t>
      </w:r>
    </w:p>
    <w:p>
      <w:pPr>
        <w:pStyle w:val="Style12"/>
        <w:keepNext w:val="0"/>
        <w:keepLines w:val="0"/>
        <w:widowControl w:val="0"/>
        <w:shd w:val="clear" w:color="auto" w:fill="auto"/>
        <w:bidi w:val="0"/>
        <w:spacing w:before="0" w:after="0" w:line="295" w:lineRule="auto"/>
        <w:ind w:left="0" w:right="0" w:firstLine="720"/>
        <w:jc w:val="both"/>
        <w:rPr>
          <w:sz w:val="24"/>
          <w:szCs w:val="24"/>
        </w:rPr>
        <w:sectPr>
          <w:headerReference w:type="default" r:id="rId17"/>
          <w:footerReference w:type="default" r:id="rId18"/>
          <w:footnotePr>
            <w:pos w:val="pageBottom"/>
            <w:numFmt w:val="decimal"/>
            <w:numRestart w:val="continuous"/>
          </w:footnotePr>
          <w:pgSz w:w="11900" w:h="16840"/>
          <w:pgMar w:top="1162" w:right="541" w:bottom="653" w:left="1087" w:header="0" w:footer="22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ч.12 ст.48 Закона о контрактной системе при рассмотрении вторых частей заявок на участие в закупке соответствующая заявка подлежит отклонению </w:t>
      </w:r>
      <w:r>
        <w:rPr>
          <w:color w:val="000000"/>
          <w:spacing w:val="0"/>
          <w:w w:val="100"/>
          <w:position w:val="0"/>
          <w:sz w:val="24"/>
          <w:szCs w:val="24"/>
          <w:shd w:val="clear" w:color="auto" w:fill="auto"/>
          <w:lang w:val="ru-RU" w:eastAsia="ru-RU" w:bidi="ru-RU"/>
        </w:rPr>
        <w:t>2023-54233</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случаях:</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2"/>
        <w:keepNext w:val="0"/>
        <w:keepLines w:val="0"/>
        <w:widowControl w:val="0"/>
        <w:numPr>
          <w:ilvl w:val="0"/>
          <w:numId w:val="5"/>
        </w:numPr>
        <w:shd w:val="clear" w:color="auto" w:fill="auto"/>
        <w:tabs>
          <w:tab w:pos="10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5"/>
        </w:numPr>
        <w:shd w:val="clear" w:color="auto" w:fill="auto"/>
        <w:tabs>
          <w:tab w:pos="10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5"/>
        </w:numPr>
        <w:shd w:val="clear" w:color="auto" w:fill="auto"/>
        <w:tabs>
          <w:tab w:pos="17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 45 Закона о контрактной системе;</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по осуществлению закупок Заказчика об отклонении заявки ООО «Система» по основанию, отраженному в протоколе, является правомерным и принято в соответствии с Законом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Независимая гарантия, выданная ПАО «Промсвязьбанк», не соответствует требованиям Типовой формы, так как указанные дополнительные требования в п.16.1 независимой гарантии не соотносятся с требованиями к независимой гарантии, указанной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вышеуказанные действия ПАО «Промсвязьбанк» нарушают ч.8.2 ст.45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sectPr>
          <w:headerReference w:type="default" r:id="rId19"/>
          <w:footerReference w:type="default" r:id="rId20"/>
          <w:footnotePr>
            <w:pos w:val="pageBottom"/>
            <w:numFmt w:val="decimal"/>
            <w:numRestart w:val="continuous"/>
          </w:footnotePr>
          <w:pgSz w:w="11900" w:h="16840"/>
          <w:pgMar w:top="1162" w:right="545" w:bottom="1436"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5"/>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12"/>
        <w:keepNext w:val="0"/>
        <w:keepLines w:val="0"/>
        <w:widowControl w:val="0"/>
        <w:numPr>
          <w:ilvl w:val="0"/>
          <w:numId w:val="7"/>
        </w:numPr>
        <w:shd w:val="clear" w:color="auto" w:fill="auto"/>
        <w:tabs>
          <w:tab w:pos="14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«Система» на действия комиссии по осуществлению закупок ДГКУ «АЗ (КС) ДЗМ» необоснованной.</w:t>
      </w:r>
    </w:p>
    <w:p>
      <w:pPr>
        <w:pStyle w:val="Style12"/>
        <w:keepNext w:val="0"/>
        <w:keepLines w:val="0"/>
        <w:widowControl w:val="0"/>
        <w:numPr>
          <w:ilvl w:val="0"/>
          <w:numId w:val="7"/>
        </w:numPr>
        <w:shd w:val="clear" w:color="auto" w:fill="auto"/>
        <w:tabs>
          <w:tab w:pos="14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ПАО «Промсвязьбанк» нарушения ч.8.2 ст.45 Закона о контрактной системе.</w:t>
      </w:r>
    </w:p>
    <w:p>
      <w:pPr>
        <w:pStyle w:val="Style12"/>
        <w:keepNext w:val="0"/>
        <w:keepLines w:val="0"/>
        <w:widowControl w:val="0"/>
        <w:numPr>
          <w:ilvl w:val="0"/>
          <w:numId w:val="7"/>
        </w:numPr>
        <w:shd w:val="clear" w:color="auto" w:fill="auto"/>
        <w:tabs>
          <w:tab w:pos="1406"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Выдать Заказчику, Оператору электронной площадки, ПАО «Промсвязьбанк» предписание об устранении выявленного нарушения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pgSz w:w="11900" w:h="16840"/>
          <w:pgMar w:top="1158" w:right="532" w:bottom="1854" w:left="1106" w:header="0" w:footer="3" w:gutter="0"/>
          <w:cols w:space="720"/>
          <w:noEndnote/>
          <w:rtlGutter w:val="0"/>
          <w:docGrid w:linePitch="360"/>
        </w:sectPr>
      </w:pPr>
      <w:r>
        <mc:AlternateContent>
          <mc:Choice Requires="wps">
            <w:drawing>
              <wp:anchor distT="330200" distB="203835" distL="0" distR="0" simplePos="0" relativeHeight="125829379" behindDoc="0" locked="0" layoutInCell="1" allowOverlap="1">
                <wp:simplePos x="0" y="0"/>
                <wp:positionH relativeFrom="page">
                  <wp:posOffset>735965</wp:posOffset>
                </wp:positionH>
                <wp:positionV relativeFrom="paragraph">
                  <wp:posOffset>330200</wp:posOffset>
                </wp:positionV>
                <wp:extent cx="1896110" cy="250190"/>
                <wp:wrapTopAndBottom/>
                <wp:docPr id="20" name="Shape 20"/>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6" type="#_x0000_t202" style="position:absolute;margin-left:57.950000000000003pt;margin-top:26.pt;width:149.30000000000001pt;height:19.699999999999999pt;z-index:-125829374;mso-wrap-distance-left:0;mso-wrap-distance-top:26.pt;mso-wrap-distance-right:0;mso-wrap-distance-bottom:16.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21640" distB="0" distL="0" distR="1804670" simplePos="0" relativeHeight="125829381" behindDoc="0" locked="0" layoutInCell="1" allowOverlap="1">
            <wp:simplePos x="0" y="0"/>
            <wp:positionH relativeFrom="page">
              <wp:posOffset>2915285</wp:posOffset>
            </wp:positionH>
            <wp:positionV relativeFrom="paragraph">
              <wp:posOffset>421640</wp:posOffset>
            </wp:positionV>
            <wp:extent cx="311150" cy="36576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2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3308350</wp:posOffset>
                </wp:positionH>
                <wp:positionV relativeFrom="paragraph">
                  <wp:posOffset>491490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60.5pt;margin-top:38.70000000000000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3835" distL="0" distR="0" simplePos="0" relativeHeight="125829382" behindDoc="0" locked="0" layoutInCell="1" allowOverlap="1">
                <wp:simplePos x="0" y="0"/>
                <wp:positionH relativeFrom="page">
                  <wp:posOffset>6039485</wp:posOffset>
                </wp:positionH>
                <wp:positionV relativeFrom="paragraph">
                  <wp:posOffset>330200</wp:posOffset>
                </wp:positionV>
                <wp:extent cx="1182370" cy="250190"/>
                <wp:wrapTopAndBottom/>
                <wp:docPr id="26" name="Shape 26"/>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2" type="#_x0000_t202" style="position:absolute;margin-left:475.55000000000001pt;margin-top:26.pt;width:93.100000000000009pt;height:19.699999999999999pt;z-index:-125829371;mso-wrap-distance-left:0;mso-wrap-distance-top:26.pt;mso-wrap-distance-right:0;mso-wrap-distance-bottom:16.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180" w:right="0" w:firstLine="0"/>
        <w:jc w:val="left"/>
        <w:rPr>
          <w:sz w:val="11"/>
          <w:szCs w:val="11"/>
        </w:rPr>
      </w:pPr>
      <w:r>
        <w:rPr>
          <w:color w:val="E7E7E7"/>
          <w:spacing w:val="0"/>
          <w:w w:val="100"/>
          <w:position w:val="0"/>
          <w:sz w:val="11"/>
          <w:szCs w:val="11"/>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26262"/>
          <w:spacing w:val="0"/>
          <w:w w:val="100"/>
          <w:position w:val="0"/>
          <w:shd w:val="clear" w:color="auto" w:fill="auto"/>
          <w:lang w:val="ru-RU" w:eastAsia="ru-RU" w:bidi="ru-RU"/>
        </w:rPr>
        <w:t>00Е9СЕАА6ОО6САС20О424А9502ЕС296Е8</w:t>
      </w:r>
      <w:r>
        <w:rPr>
          <w:color w:val="626262"/>
          <w:spacing w:val="0"/>
          <w:w w:val="100"/>
          <w:position w:val="0"/>
          <w:shd w:val="clear" w:color="auto" w:fill="auto"/>
          <w:lang w:val="ru-RU" w:eastAsia="ru-RU" w:bidi="ru-RU"/>
        </w:rPr>
        <w:t>;</w:t>
      </w:r>
    </w:p>
    <w:p>
      <w:pPr>
        <w:pStyle w:val="Style22"/>
        <w:keepNext w:val="0"/>
        <w:keepLines w:val="0"/>
        <w:widowControl w:val="0"/>
        <w:shd w:val="clear" w:color="auto" w:fill="auto"/>
        <w:bidi w:val="0"/>
        <w:spacing w:before="0" w:after="560" w:line="240" w:lineRule="auto"/>
        <w:ind w:right="0" w:firstLine="0"/>
        <w:jc w:val="left"/>
      </w:pP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22.12.2022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4" behindDoc="0" locked="0" layoutInCell="1" allowOverlap="1">
            <wp:simplePos x="0" y="0"/>
            <wp:positionH relativeFrom="page">
              <wp:posOffset>2896870</wp:posOffset>
            </wp:positionH>
            <wp:positionV relativeFrom="paragraph">
              <wp:posOffset>63500</wp:posOffset>
            </wp:positionV>
            <wp:extent cx="347345" cy="39624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3"/>
                    <a:stretch/>
                  </pic:blipFill>
                  <pic:spPr>
                    <a:xfrm>
                      <a:ext cx="34734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3308350</wp:posOffset>
                </wp:positionH>
                <wp:positionV relativeFrom="paragraph">
                  <wp:posOffset>154940</wp:posOffset>
                </wp:positionV>
                <wp:extent cx="1722120" cy="255905"/>
                <wp:wrapNone/>
                <wp:docPr id="30" name="Shape 3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6" type="#_x0000_t202" style="position:absolute;margin-left:260.5pt;margin-top:12.200000000000001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180" w:right="0" w:firstLine="0"/>
        <w:jc w:val="left"/>
        <w:rPr>
          <w:sz w:val="11"/>
          <w:szCs w:val="11"/>
        </w:rPr>
      </w:pPr>
      <w:r>
        <w:rPr>
          <w:color w:val="E7E7E7"/>
          <w:spacing w:val="0"/>
          <w:w w:val="100"/>
          <w:position w:val="0"/>
          <w:sz w:val="11"/>
          <w:szCs w:val="11"/>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76" w:lineRule="auto"/>
        <w:ind w:right="0" w:firstLine="20"/>
        <w:jc w:val="left"/>
      </w:pPr>
      <w:r>
        <w:rPr>
          <w:spacing w:val="0"/>
          <w:w w:val="100"/>
          <w:position w:val="0"/>
          <w:shd w:val="clear" w:color="auto" w:fill="auto"/>
          <w:lang w:val="ru-RU" w:eastAsia="ru-RU" w:bidi="ru-RU"/>
        </w:rPr>
        <w:t xml:space="preserve">Кому </w:t>
      </w:r>
      <w:r>
        <w:rPr>
          <w:color w:val="626262"/>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26262"/>
          <w:spacing w:val="0"/>
          <w:w w:val="100"/>
          <w:position w:val="0"/>
          <w:shd w:val="clear" w:color="auto" w:fill="auto"/>
          <w:lang w:val="ru-RU" w:eastAsia="ru-RU" w:bidi="ru-RU"/>
        </w:rPr>
        <w:t>44СЕЭ1</w:t>
      </w:r>
      <w:r>
        <w:rPr>
          <w:spacing w:val="0"/>
          <w:w w:val="100"/>
          <w:position w:val="0"/>
          <w:shd w:val="clear" w:color="auto" w:fill="auto"/>
          <w:lang w:val="ru-RU" w:eastAsia="ru-RU" w:bidi="ru-RU"/>
        </w:rPr>
        <w:t>9О689ЕВ23598ВССВЕ99Е1 С6Е2С</w:t>
      </w:r>
    </w:p>
    <w:p>
      <w:pPr>
        <w:pStyle w:val="Style22"/>
        <w:keepNext w:val="0"/>
        <w:keepLines w:val="0"/>
        <w:widowControl w:val="0"/>
        <w:shd w:val="clear" w:color="auto" w:fill="auto"/>
        <w:bidi w:val="0"/>
        <w:spacing w:before="0" w:after="560" w:line="276" w:lineRule="auto"/>
        <w:ind w:right="0" w:firstLine="20"/>
        <w:jc w:val="left"/>
      </w:pPr>
      <w:r>
        <w:rPr>
          <w:color w:val="626262"/>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10.04.2023 </w:t>
      </w:r>
      <w:r>
        <w:rPr>
          <w:color w:val="8D8D8D"/>
          <w:spacing w:val="0"/>
          <w:w w:val="100"/>
          <w:position w:val="0"/>
          <w:shd w:val="clear" w:color="auto" w:fill="auto"/>
          <w:lang w:val="ru-RU" w:eastAsia="ru-RU" w:bidi="ru-RU"/>
        </w:rPr>
        <w:t xml:space="preserve">по </w:t>
      </w:r>
      <w:r>
        <w:rPr>
          <w:color w:val="202020"/>
          <w:spacing w:val="0"/>
          <w:w w:val="100"/>
          <w:position w:val="0"/>
          <w:shd w:val="clear" w:color="auto" w:fill="auto"/>
          <w:lang w:val="ru-RU" w:eastAsia="ru-RU" w:bidi="ru-RU"/>
        </w:rPr>
        <w:t>03.07.2024</w:t>
      </w:r>
    </w:p>
    <w:p>
      <w:pPr>
        <w:pStyle w:val="Style12"/>
        <w:keepNext w:val="0"/>
        <w:keepLines w:val="0"/>
        <w:widowControl w:val="0"/>
        <w:shd w:val="clear" w:color="auto" w:fill="auto"/>
        <w:bidi w:val="0"/>
        <w:spacing w:before="0" w:after="390" w:line="240" w:lineRule="auto"/>
        <w:ind w:left="0" w:right="0" w:firstLine="0"/>
        <w:jc w:val="right"/>
      </w:pPr>
      <w:r>
        <w:drawing>
          <wp:anchor distT="0" distB="0" distL="114300" distR="1918970" simplePos="0" relativeHeight="125829385" behindDoc="0" locked="0" layoutInCell="1" allowOverlap="1">
            <wp:simplePos x="0" y="0"/>
            <wp:positionH relativeFrom="page">
              <wp:posOffset>2915285</wp:posOffset>
            </wp:positionH>
            <wp:positionV relativeFrom="paragraph">
              <wp:posOffset>76200</wp:posOffset>
            </wp:positionV>
            <wp:extent cx="311150" cy="365760"/>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5"/>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3308350</wp:posOffset>
                </wp:positionH>
                <wp:positionV relativeFrom="paragraph">
                  <wp:posOffset>146050</wp:posOffset>
                </wp:positionV>
                <wp:extent cx="1722120" cy="255905"/>
                <wp:wrapNone/>
                <wp:docPr id="34" name="Shape 3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0" type="#_x0000_t202" style="position:absolute;margin-left:260.5pt;margin-top:11.5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180" w:right="0" w:firstLine="0"/>
        <w:jc w:val="left"/>
        <w:rPr>
          <w:sz w:val="11"/>
          <w:szCs w:val="11"/>
        </w:rPr>
      </w:pPr>
      <w:r>
        <w:rPr>
          <w:color w:val="E7E7E7"/>
          <w:spacing w:val="0"/>
          <w:w w:val="100"/>
          <w:position w:val="0"/>
          <w:sz w:val="11"/>
          <w:szCs w:val="11"/>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2626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 8Е970Е55В5023ВСС0395Е903С1 035</w:t>
      </w:r>
    </w:p>
    <w:p>
      <w:pPr>
        <w:pStyle w:val="Style22"/>
        <w:keepNext w:val="0"/>
        <w:keepLines w:val="0"/>
        <w:widowControl w:val="0"/>
        <w:shd w:val="clear" w:color="auto" w:fill="auto"/>
        <w:bidi w:val="0"/>
        <w:spacing w:before="0" w:after="2460" w:line="240" w:lineRule="auto"/>
        <w:ind w:right="0" w:firstLine="0"/>
        <w:jc w:val="left"/>
      </w:pPr>
      <w:r>
        <w:rPr>
          <w:color w:val="62626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26262"/>
          <w:spacing w:val="0"/>
          <w:w w:val="100"/>
          <w:position w:val="0"/>
          <w:shd w:val="clear" w:color="auto" w:fill="auto"/>
          <w:lang w:val="ru-RU" w:eastAsia="ru-RU" w:bidi="ru-RU"/>
        </w:rPr>
        <w:t xml:space="preserve">03.08.2023 по </w:t>
      </w:r>
      <w:r>
        <w:rPr>
          <w:spacing w:val="0"/>
          <w:w w:val="100"/>
          <w:position w:val="0"/>
          <w:shd w:val="clear" w:color="auto" w:fill="auto"/>
          <w:lang w:val="ru-RU" w:eastAsia="ru-RU" w:bidi="ru-RU"/>
        </w:rPr>
        <w:t>26.10.2024</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6280" cy="100330"/>
              <wp:wrapNone/>
              <wp:docPr id="5" name="Shape 5"/>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wps:txbx>
                    <wps:bodyPr wrap="none" lIns="0" tIns="0" rIns="0" bIns="0">
                      <a:spAutoFit/>
                    </wps:bodyPr>
                  </wps:wsp>
                </a:graphicData>
              </a:graphic>
            </wp:anchor>
          </w:drawing>
        </mc:Choice>
        <mc:Fallback>
          <w:pict>
            <v:shape id="_x0000_s1031" type="#_x0000_t202" style="position:absolute;margin-left:57.pt;margin-top:804.5pt;width:56.3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10092690</wp:posOffset>
              </wp:positionV>
              <wp:extent cx="722630" cy="100330"/>
              <wp:wrapNone/>
              <wp:docPr id="12" name="Shape 1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wps:txbx>
                    <wps:bodyPr wrap="none" lIns="0" tIns="0" rIns="0" bIns="0">
                      <a:spAutoFit/>
                    </wps:bodyPr>
                  </wps:wsp>
                </a:graphicData>
              </a:graphic>
            </wp:anchor>
          </w:drawing>
        </mc:Choice>
        <mc:Fallback>
          <w:pict>
            <v:shape id="_x0000_s1038" type="#_x0000_t202" style="position:absolute;margin-left:57.200000000000003pt;margin-top:794.7000000000000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726440</wp:posOffset>
              </wp:positionH>
              <wp:positionV relativeFrom="page">
                <wp:posOffset>10092690</wp:posOffset>
              </wp:positionV>
              <wp:extent cx="722630" cy="100330"/>
              <wp:wrapNone/>
              <wp:docPr id="18" name="Shape 18"/>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wps:txbx>
                    <wps:bodyPr wrap="none" lIns="0" tIns="0" rIns="0" bIns="0">
                      <a:spAutoFit/>
                    </wps:bodyPr>
                  </wps:wsp>
                </a:graphicData>
              </a:graphic>
            </wp:anchor>
          </w:drawing>
        </mc:Choice>
        <mc:Fallback>
          <w:pict>
            <v:shape id="_x0000_s1044" type="#_x0000_t202" style="position:absolute;margin-left:57.200000000000003pt;margin-top:794.70000000000005pt;width:56.899999999999999pt;height:7.90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3927475</wp:posOffset>
              </wp:positionH>
              <wp:positionV relativeFrom="page">
                <wp:posOffset>422910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25pt;margin-top:33.299999999999997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3930015</wp:posOffset>
              </wp:positionH>
              <wp:positionV relativeFrom="page">
                <wp:posOffset>476250</wp:posOffset>
              </wp:positionV>
              <wp:extent cx="57785" cy="103505"/>
              <wp:wrapNone/>
              <wp:docPr id="10" name="Shape 10"/>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9.44999999999999pt;margin-top:37.5pt;width:4.5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3927475</wp:posOffset>
              </wp:positionH>
              <wp:positionV relativeFrom="page">
                <wp:posOffset>422910</wp:posOffset>
              </wp:positionV>
              <wp:extent cx="67310" cy="103505"/>
              <wp:wrapNone/>
              <wp:docPr id="14" name="Shape 14"/>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9.25pt;margin-top:33.299999999999997pt;width:5.29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3930015</wp:posOffset>
              </wp:positionH>
              <wp:positionV relativeFrom="page">
                <wp:posOffset>476250</wp:posOffset>
              </wp:positionV>
              <wp:extent cx="57785" cy="103505"/>
              <wp:wrapNone/>
              <wp:docPr id="16" name="Shape 16"/>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309.44999999999999pt;margin-top:37.5pt;width:4.5499999999999998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04040"/>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1"/>
    <w:basedOn w:val="Normal"/>
    <w:link w:val="CharStyle10"/>
    <w:pPr>
      <w:widowControl w:val="0"/>
      <w:shd w:val="clear" w:color="auto" w:fill="auto"/>
      <w:spacing w:after="20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2"/>
    <w:basedOn w:val="Normal"/>
    <w:link w:val="CharStyle16"/>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2">
    <w:name w:val="Основной текст (2)"/>
    <w:basedOn w:val="Normal"/>
    <w:link w:val="CharStyle23"/>
    <w:pPr>
      <w:widowControl w:val="0"/>
      <w:shd w:val="clear" w:color="auto" w:fill="auto"/>
      <w:spacing w:after="40"/>
      <w:ind w:left="3460"/>
    </w:pPr>
    <w:rPr>
      <w:rFonts w:ascii="Arial" w:eastAsia="Arial" w:hAnsi="Arial" w:cs="Arial"/>
      <w:b w:val="0"/>
      <w:bCs w:val="0"/>
      <w:i w:val="0"/>
      <w:iCs w:val="0"/>
      <w:smallCaps w:val="0"/>
      <w:strike w:val="0"/>
      <w:color w:val="404040"/>
      <w:sz w:val="12"/>
      <w:szCs w:val="12"/>
      <w:u w:val="none"/>
    </w:rPr>
  </w:style>
  <w:style w:type="paragraph" w:customStyle="1" w:styleId="Style30">
    <w:name w:val="Основной текст (4)"/>
    <w:basedOn w:val="Normal"/>
    <w:link w:val="CharStyle31"/>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 Id="rId25" Type="http://schemas.openxmlformats.org/officeDocument/2006/relationships/image" Target="media/image6.jpeg"/><Relationship Id="rId26" Type="http://schemas.openxmlformats.org/officeDocument/2006/relationships/image" Target="media/image6.jpeg" TargetMode="External"/></Relationships>
</file>