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1о77@Га8.2ОУ.ги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47809/23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городского имущества города Москвы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Коске8коVАА@то8.^и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«Сабрэкс»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9" w:right="1137" w:bottom="708" w:left="1145" w:header="0" w:footer="3" w:gutter="0"/>
          <w:pgNumType w:start="1"/>
          <w:cols w:num="2" w:space="90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1-а-у@таП.П1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7" w:after="11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0" w:bottom="5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393700</wp:posOffset>
                </wp:positionV>
                <wp:extent cx="1222375" cy="454025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237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03.11.2023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800000000000004pt;margin-top:31.pt;width:96.25pt;height:35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03.11.2023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№077/06/106-15562/2023 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4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 Федеральной антимонопольной службы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г. Москве по контролю в сфере закупок товаров, работ, услуг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Департамента городского имущества города Москвы,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«Сабрэкс»,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«Сабрэкс» на действия Департамента городского имущества города Москвы (далее — Заказчик) при проведении электронного аукциона на право заключения государственного контракта на поставку офисной мебели с предоставлением преимуществ организациям инвалидов (Закупка № 0173200004523000038)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27.10.2023 №ИЭА1 заявка участника закупки ООО «Сабрэкс», с идентификационным номером 177722, отклонена в том числе на следующем основании: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требованиям», п.4 ч.12 ст.48 №44-ФЗ «В соответствии с требованиями нормативных правовых актов, принятых в соответствии со ст. 14 Закона № 44 ФЗ» , а именно: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Участником закупки не предоставлены конкретные значения характеристик поставляемого товара, в соответствии с извещением об осуществлении о закупке, относительно предлагаемого к поставке товара, а также его характеристик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2023-54010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установлены требования к характеристикам необходимых товаров, например: п.«Стул на деревянном каркасе»: «Высота сидения: &gt; 480 Миллиметр», при этом в отношении данной характеристики также представлена инструкция по заполнению характеристики, в частности указано: «Участник закупки указывает в заявке конкретное значение характеристики».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в пп.5 п.14 информационной карты извещения Заказчиком установлено в том числе следующее требование к составу заявки на участие в аукционе: «Характеристики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 в составе заявки участника аукциона представлены сведения предложенных к поставке изделиях, например, по п.«Стул на деревянном каркасе»: «Высота сидения: &gt; 480 Миллиметр», что противоречит требованиям извещения об осуществлении закупки, в том числе инструкции по заполнению заявки, согласно которой необходимо представить конкретное значение характеристики.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пп.1 - 8 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69" w:lineRule="auto"/>
        <w:ind w:left="0" w:right="0" w:firstLine="70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2023-54010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7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по осуществлению закупок Заказчика имелись основания для отклонения заявки Заявителя, и что решение комиссии по осуществлению закупок Заказчика об отклонении заявки ООО «Сабрэкс» по основанию, отраженному в протоколе подведения итогов, является правомерным.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42" w:right="538" w:bottom="554" w:left="110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4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«Сабрэкс» на действия комиссии по осуществлению закупок Департамента городского имущества города Москвы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53" w:right="527" w:bottom="448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0" distB="22542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368300</wp:posOffset>
                </wp:positionV>
                <wp:extent cx="1896110" cy="247015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57.950000000000003pt;margin-top:29.pt;width:149.30000000000001pt;height:19.449999999999999pt;z-index:-125829372;mso-wrap-distance-left:0;mso-wrap-distance-top:29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1325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441325</wp:posOffset>
            </wp:positionV>
            <wp:extent cx="353695" cy="402590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532765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41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8300" distB="225425" distL="0" distR="0" simplePos="0" relativeHeight="125829384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368300</wp:posOffset>
                </wp:positionV>
                <wp:extent cx="1182370" cy="24701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475.55000000000001pt;margin-top:29.pt;width:93.100000000000009pt;height:19.449999999999999pt;z-index:-125829369;mso-wrap-distance-left:0;mso-wrap-distance-top:29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00Е9СРАА6ОО6САО20В424А9502РС296Е8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1.1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9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63500</wp:posOffset>
            </wp:positionV>
            <wp:extent cx="365760" cy="408305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161290</wp:posOffset>
                </wp:positionV>
                <wp:extent cx="1725295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7.55000000000001pt;margin-top:12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0В18Е97ВЕ55В5023ВССВ395Е903С1 035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03.08.2023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3" w:right="527" w:bottom="115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10130790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7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10211435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05000000000007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10130790</wp:posOffset>
              </wp:positionV>
              <wp:extent cx="72263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7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10130790</wp:posOffset>
              </wp:positionV>
              <wp:extent cx="722630" cy="10033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57.200000000000003pt;margin-top:797.7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4999999999999pt;margin-top:37.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3929380</wp:posOffset>
              </wp:positionH>
              <wp:positionV relativeFrom="page">
                <wp:posOffset>240665</wp:posOffset>
              </wp:positionV>
              <wp:extent cx="6413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40000000000003pt;margin-top:18.949999999999999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9.44999999999999pt;margin-top:37.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469900</wp:posOffset>
              </wp:positionV>
              <wp:extent cx="64135" cy="103505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44999999999999pt;margin-top:37.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5E9B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310" w:line="247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