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648585" distL="1165860" distR="1126490" simplePos="0" relativeHeight="125829378" behindDoc="0" locked="0" layoutInCell="1" allowOverlap="1">
            <wp:simplePos x="0" y="0"/>
            <wp:positionH relativeFrom="page">
              <wp:posOffset>1776730</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789305" distL="114300" distR="132715" simplePos="0" relativeHeight="125829379" behindDoc="0" locked="0" layoutInCell="1" allowOverlap="1">
                <wp:simplePos x="0" y="0"/>
                <wp:positionH relativeFrom="page">
                  <wp:posOffset>725170</wp:posOffset>
                </wp:positionH>
                <wp:positionV relativeFrom="paragraph">
                  <wp:posOffset>728980</wp:posOffset>
                </wp:positionV>
                <wp:extent cx="2578735" cy="1755775"/>
                <wp:wrapSquare wrapText="right"/>
                <wp:docPr id="3" name="Shape 3"/>
                <a:graphic xmlns:a="http://schemas.openxmlformats.org/drawingml/2006/main">
                  <a:graphicData uri="http://schemas.microsoft.com/office/word/2010/wordprocessingShape">
                    <wps:wsp>
                      <wps:cNvSpPr txBox="1"/>
                      <wps:spPr>
                        <a:xfrm>
                          <a:ext cx="2578735" cy="1755775"/>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Курганской области</w:t>
                            </w:r>
                          </w:p>
                          <w:p>
                            <w:pPr>
                              <w:pStyle w:val="Style2"/>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ул. М. Горького, 40, г. Курган, 640020</w:t>
                              <w:br/>
                              <w:t>тел. (3522) 46-39-55, факс (3522) 46-39-85</w:t>
                              <w:br/>
                              <w:t>е-тай: 1о45@Га8.§оу.ги</w:t>
                            </w:r>
                          </w:p>
                          <w:p>
                            <w:pPr>
                              <w:pStyle w:val="Style5"/>
                              <w:keepNext w:val="0"/>
                              <w:keepLines w:val="0"/>
                              <w:widowControl w:val="0"/>
                              <w:shd w:val="clear" w:color="auto" w:fill="auto"/>
                              <w:tabs>
                                <w:tab w:leader="underscore" w:pos="1762" w:val="left"/>
                                <w:tab w:leader="underscore" w:pos="3931" w:val="left"/>
                              </w:tabs>
                              <w:bidi w:val="0"/>
                              <w:spacing w:before="0" w:line="240" w:lineRule="auto"/>
                              <w:ind w:left="0" w:right="0" w:firstLine="0"/>
                              <w:jc w:val="center"/>
                            </w:pPr>
                            <w:r>
                              <w:rPr>
                                <w:b w:val="0"/>
                                <w:bCs w:val="0"/>
                                <w:spacing w:val="0"/>
                                <w:w w:val="100"/>
                                <w:position w:val="0"/>
                                <w:shd w:val="clear" w:color="auto" w:fill="auto"/>
                                <w:lang w:val="ru-RU" w:eastAsia="ru-RU" w:bidi="ru-RU"/>
                              </w:rPr>
                              <w:tab/>
                              <w:t xml:space="preserve"> №</w:t>
                              <w:tab/>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100000000000001pt;margin-top:57.399999999999999pt;width:203.05000000000001pt;height:138.25pt;z-index:-125829374;mso-wrap-distance-left:9.pt;mso-wrap-distance-top:56.399999999999999pt;mso-wrap-distance-right:10.450000000000001pt;mso-wrap-distance-bottom:62.149999999999999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Курганской области</w:t>
                      </w:r>
                    </w:p>
                    <w:p>
                      <w:pPr>
                        <w:pStyle w:val="Style2"/>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ул. М. Горького, 40, г. Курган, 640020</w:t>
                        <w:br/>
                        <w:t>тел. (3522) 46-39-55, факс (3522) 46-39-85</w:t>
                        <w:br/>
                        <w:t>е-тай: 1о45@Га8.§оу.ги</w:t>
                      </w:r>
                    </w:p>
                    <w:p>
                      <w:pPr>
                        <w:pStyle w:val="Style5"/>
                        <w:keepNext w:val="0"/>
                        <w:keepLines w:val="0"/>
                        <w:widowControl w:val="0"/>
                        <w:shd w:val="clear" w:color="auto" w:fill="auto"/>
                        <w:tabs>
                          <w:tab w:leader="underscore" w:pos="1762" w:val="left"/>
                          <w:tab w:leader="underscore" w:pos="3931" w:val="left"/>
                        </w:tabs>
                        <w:bidi w:val="0"/>
                        <w:spacing w:before="0" w:line="240" w:lineRule="auto"/>
                        <w:ind w:left="0" w:right="0" w:firstLine="0"/>
                        <w:jc w:val="center"/>
                      </w:pPr>
                      <w:r>
                        <w:rPr>
                          <w:b w:val="0"/>
                          <w:bCs w:val="0"/>
                          <w:spacing w:val="0"/>
                          <w:w w:val="100"/>
                          <w:position w:val="0"/>
                          <w:shd w:val="clear" w:color="auto" w:fill="auto"/>
                          <w:lang w:val="ru-RU" w:eastAsia="ru-RU" w:bidi="ru-RU"/>
                        </w:rPr>
                        <w:tab/>
                        <w:t xml:space="preserve"> №</w:t>
                        <w:tab/>
                      </w:r>
                    </w:p>
                  </w:txbxContent>
                </v:textbox>
                <w10:wrap type="square" side="right" anchorx="page"/>
              </v:shape>
            </w:pict>
          </mc:Fallback>
        </mc:AlternateContent>
      </w:r>
      <w:r>
        <w:drawing>
          <wp:anchor distT="3081020" distB="0" distL="117475" distR="114300" simplePos="0" relativeHeight="125829381" behindDoc="0" locked="0" layoutInCell="1" allowOverlap="1">
            <wp:simplePos x="0" y="0"/>
            <wp:positionH relativeFrom="page">
              <wp:posOffset>728345</wp:posOffset>
            </wp:positionH>
            <wp:positionV relativeFrom="paragraph">
              <wp:posOffset>3093720</wp:posOffset>
            </wp:positionV>
            <wp:extent cx="2597150" cy="182880"/>
            <wp:wrapSquare wrapText="righ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2597150" cy="18288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725170</wp:posOffset>
                </wp:positionH>
                <wp:positionV relativeFrom="paragraph">
                  <wp:posOffset>2658110</wp:posOffset>
                </wp:positionV>
                <wp:extent cx="2578735" cy="130810"/>
                <wp:wrapNone/>
                <wp:docPr id="7" name="Shape 7"/>
                <a:graphic xmlns:a="http://schemas.openxmlformats.org/drawingml/2006/main">
                  <a:graphicData uri="http://schemas.microsoft.com/office/word/2010/wordprocessingShape">
                    <wps:wsp>
                      <wps:cNvSpPr txBox="1"/>
                      <wps:spPr>
                        <a:xfrm>
                          <a:ext cx="2578735" cy="13081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от</w:t>
                            </w:r>
                          </w:p>
                        </w:txbxContent>
                      </wps:txbx>
                      <wps:bodyPr lIns="0" tIns="0" rIns="0" bIns="0">
                        <a:noAutoFit/>
                      </wps:bodyPr>
                    </wps:wsp>
                  </a:graphicData>
                </a:graphic>
              </wp:anchor>
            </w:drawing>
          </mc:Choice>
          <mc:Fallback>
            <w:pict>
              <v:shape id="_x0000_s1033" type="#_x0000_t202" style="position:absolute;margin-left:57.100000000000001pt;margin-top:209.30000000000001pt;width:203.05000000000001pt;height:10.300000000000001pt;z-index:251657729;mso-wrap-distance-left:0;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от</w:t>
                      </w:r>
                    </w:p>
                  </w:txbxContent>
                </v:textbox>
                <w10:wrap anchorx="page"/>
              </v:shape>
            </w:pict>
          </mc:Fallback>
        </mc:AlternateContent>
      </w:r>
    </w:p>
    <w:p>
      <w:pPr>
        <w:pStyle w:val="Style10"/>
        <w:keepNext w:val="0"/>
        <w:keepLines w:val="0"/>
        <w:widowControl w:val="0"/>
        <w:shd w:val="clear" w:color="auto" w:fill="auto"/>
        <w:bidi w:val="0"/>
        <w:spacing w:before="0" w:after="0" w:line="240" w:lineRule="auto"/>
        <w:ind w:left="920" w:right="0" w:firstLine="0"/>
        <w:jc w:val="left"/>
      </w:pPr>
      <w:r>
        <w:rPr>
          <w:color w:val="000000"/>
          <w:spacing w:val="0"/>
          <w:w w:val="100"/>
          <w:position w:val="0"/>
          <w:shd w:val="clear" w:color="auto" w:fill="auto"/>
          <w:lang w:val="ru-RU" w:eastAsia="ru-RU" w:bidi="ru-RU"/>
        </w:rPr>
        <w:t>Общество с ограниченной ответственностью «МЕДИКОМ» 117186, г. Москва, ул.Нагорная, д. 31, к.</w:t>
      </w:r>
    </w:p>
    <w:p>
      <w:pPr>
        <w:pStyle w:val="Style10"/>
        <w:keepNext w:val="0"/>
        <w:keepLines w:val="0"/>
        <w:widowControl w:val="0"/>
        <w:shd w:val="clear" w:color="auto" w:fill="auto"/>
        <w:bidi w:val="0"/>
        <w:spacing w:before="0" w:after="0" w:line="240" w:lineRule="auto"/>
        <w:ind w:left="920" w:right="0" w:firstLine="0"/>
        <w:jc w:val="left"/>
      </w:pPr>
      <w:r>
        <w:rPr>
          <w:color w:val="000000"/>
          <w:spacing w:val="0"/>
          <w:w w:val="100"/>
          <w:position w:val="0"/>
          <w:shd w:val="clear" w:color="auto" w:fill="auto"/>
          <w:lang w:val="ru-RU" w:eastAsia="ru-RU" w:bidi="ru-RU"/>
        </w:rPr>
        <w:t>6, кв. 13</w:t>
      </w:r>
    </w:p>
    <w:p>
      <w:pPr>
        <w:pStyle w:val="Style10"/>
        <w:keepNext w:val="0"/>
        <w:keepLines w:val="0"/>
        <w:widowControl w:val="0"/>
        <w:shd w:val="clear" w:color="auto" w:fill="auto"/>
        <w:bidi w:val="0"/>
        <w:spacing w:before="0" w:after="280" w:line="240" w:lineRule="auto"/>
        <w:ind w:left="920" w:right="0" w:firstLine="0"/>
        <w:jc w:val="left"/>
      </w:pPr>
      <w:r>
        <w:rPr>
          <w:color w:val="000000"/>
          <w:spacing w:val="0"/>
          <w:w w:val="100"/>
          <w:position w:val="0"/>
          <w:shd w:val="clear" w:color="auto" w:fill="auto"/>
          <w:lang w:val="ru-RU" w:eastAsia="ru-RU" w:bidi="ru-RU"/>
        </w:rPr>
        <w:t>пп@теШсот77.ги</w:t>
      </w:r>
    </w:p>
    <w:p>
      <w:pPr>
        <w:pStyle w:val="Style10"/>
        <w:keepNext w:val="0"/>
        <w:keepLines w:val="0"/>
        <w:widowControl w:val="0"/>
        <w:shd w:val="clear" w:color="auto" w:fill="auto"/>
        <w:bidi w:val="0"/>
        <w:spacing w:before="0" w:after="0" w:line="240" w:lineRule="auto"/>
        <w:ind w:left="920" w:right="0" w:firstLine="0"/>
        <w:jc w:val="left"/>
      </w:pPr>
      <w:r>
        <w:rPr>
          <w:color w:val="000000"/>
          <w:spacing w:val="0"/>
          <w:w w:val="100"/>
          <w:position w:val="0"/>
          <w:shd w:val="clear" w:color="auto" w:fill="auto"/>
          <w:lang w:val="ru-RU" w:eastAsia="ru-RU" w:bidi="ru-RU"/>
        </w:rPr>
        <w:t>Государственное бюджетное учреждение «Шадринская центральная районная больница»</w:t>
      </w:r>
    </w:p>
    <w:p>
      <w:pPr>
        <w:pStyle w:val="Style10"/>
        <w:keepNext w:val="0"/>
        <w:keepLines w:val="0"/>
        <w:widowControl w:val="0"/>
        <w:shd w:val="clear" w:color="auto" w:fill="auto"/>
        <w:bidi w:val="0"/>
        <w:spacing w:before="0" w:after="0" w:line="240" w:lineRule="auto"/>
        <w:ind w:left="920" w:right="0" w:firstLine="0"/>
        <w:jc w:val="left"/>
      </w:pPr>
      <w:r>
        <w:rPr>
          <w:color w:val="000000"/>
          <w:spacing w:val="0"/>
          <w:w w:val="100"/>
          <w:position w:val="0"/>
          <w:shd w:val="clear" w:color="auto" w:fill="auto"/>
          <w:lang w:val="ru-RU" w:eastAsia="ru-RU" w:bidi="ru-RU"/>
        </w:rPr>
        <w:t>641886, Курганская обл., г. Шадринск, ул. Мальцевский тракт, 2</w:t>
      </w:r>
    </w:p>
    <w:p>
      <w:pPr>
        <w:pStyle w:val="Style10"/>
        <w:keepNext w:val="0"/>
        <w:keepLines w:val="0"/>
        <w:widowControl w:val="0"/>
        <w:shd w:val="clear" w:color="auto" w:fill="auto"/>
        <w:bidi w:val="0"/>
        <w:spacing w:before="0" w:after="2280" w:line="240" w:lineRule="auto"/>
        <w:ind w:left="0" w:right="0" w:firstLine="920"/>
        <w:jc w:val="left"/>
      </w:pPr>
      <w:r>
        <w:rPr>
          <w:color w:val="000000"/>
          <w:spacing w:val="0"/>
          <w:w w:val="100"/>
          <w:position w:val="0"/>
          <w:shd w:val="clear" w:color="auto" w:fill="auto"/>
          <w:lang w:val="ru-RU" w:eastAsia="ru-RU" w:bidi="ru-RU"/>
        </w:rPr>
        <w:t>й-8ксгЪ@тай.ги</w:t>
      </w:r>
    </w:p>
    <w:p>
      <w:pPr>
        <w:pStyle w:val="Style16"/>
        <w:keepNext/>
        <w:keepLines/>
        <w:widowControl w:val="0"/>
        <w:shd w:val="clear" w:color="auto" w:fill="auto"/>
        <w:bidi w:val="0"/>
        <w:spacing w:before="0" w:after="0" w:line="240" w:lineRule="auto"/>
        <w:ind w:left="0" w:right="0" w:firstLine="0"/>
        <w:jc w:val="center"/>
      </w:pPr>
      <w:bookmarkStart w:id="0" w:name="bookmark0"/>
      <w:r>
        <w:rPr>
          <w:color w:val="000000"/>
          <w:spacing w:val="0"/>
          <w:w w:val="100"/>
          <w:position w:val="0"/>
          <w:shd w:val="clear" w:color="auto" w:fill="auto"/>
          <w:lang w:val="ru-RU" w:eastAsia="ru-RU" w:bidi="ru-RU"/>
        </w:rPr>
        <w:t>Решение № 045/06/106-570/2023</w:t>
      </w:r>
      <w:bookmarkEnd w:id="0"/>
    </w:p>
    <w:p>
      <w:pPr>
        <w:pStyle w:val="Style16"/>
        <w:keepNext/>
        <w:keepLines/>
        <w:widowControl w:val="0"/>
        <w:shd w:val="clear" w:color="auto" w:fill="auto"/>
        <w:bidi w:val="0"/>
        <w:spacing w:before="0" w:after="600" w:line="240" w:lineRule="auto"/>
        <w:ind w:left="0" w:right="0" w:firstLine="0"/>
        <w:jc w:val="both"/>
      </w:pPr>
      <w:r>
        <w:rPr>
          <w:color w:val="000000"/>
          <w:spacing w:val="0"/>
          <w:w w:val="100"/>
          <w:position w:val="0"/>
          <w:shd w:val="clear" w:color="auto" w:fill="auto"/>
          <w:lang w:val="ru-RU" w:eastAsia="ru-RU" w:bidi="ru-RU"/>
        </w:rPr>
        <w:t>по делу о нарушении законодательства о контрактной системе в сфере закупок</w:t>
      </w:r>
    </w:p>
    <w:p>
      <w:pPr>
        <w:pStyle w:val="Style10"/>
        <w:keepNext w:val="0"/>
        <w:keepLines w:val="0"/>
        <w:widowControl w:val="0"/>
        <w:shd w:val="clear" w:color="auto" w:fill="auto"/>
        <w:tabs>
          <w:tab w:pos="9058" w:val="left"/>
        </w:tabs>
        <w:bidi w:val="0"/>
        <w:spacing w:before="0" w:after="280" w:line="240" w:lineRule="auto"/>
        <w:ind w:left="0" w:right="0" w:firstLine="0"/>
        <w:jc w:val="both"/>
      </w:pPr>
      <w:r>
        <w:rPr>
          <w:color w:val="000000"/>
          <w:spacing w:val="0"/>
          <w:w w:val="100"/>
          <w:position w:val="0"/>
          <w:shd w:val="clear" w:color="auto" w:fill="auto"/>
          <w:lang w:val="ru-RU" w:eastAsia="ru-RU" w:bidi="ru-RU"/>
        </w:rPr>
        <w:t>13.10.2023 г.</w:t>
        <w:tab/>
        <w:t>г. Курган</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Курганской области по контролю в сфере закупок на территории Курганской области (далее - Комиссия Курганского УФАС России) в составе:</w:t>
      </w:r>
    </w:p>
    <w:p>
      <w:pPr>
        <w:pStyle w:val="Style10"/>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hd w:val="clear" w:color="auto" w:fill="auto"/>
          <w:lang w:val="ru-RU" w:eastAsia="ru-RU" w:bidi="ru-RU"/>
        </w:rPr>
        <w:t xml:space="preserve">Заместитель Председателя Комиссии - </w:t>
      </w:r>
      <w:r>
        <w:rPr>
          <w:color w:val="000000"/>
          <w:spacing w:val="0"/>
          <w:w w:val="100"/>
          <w:position w:val="0"/>
          <w:shd w:val="clear" w:color="auto" w:fill="auto"/>
          <w:lang w:val="ru-RU" w:eastAsia="ru-RU" w:bidi="ru-RU"/>
        </w:rPr>
        <w:t>Стрижова И.М. - заместитель начальника отдела контроля закупок и антимонопольного регулирования органов власти Управления Федеральной антимонопольной службы по Курганской области;</w:t>
      </w:r>
    </w:p>
    <w:p>
      <w:pPr>
        <w:pStyle w:val="Style10"/>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hd w:val="clear" w:color="auto" w:fill="auto"/>
          <w:lang w:val="ru-RU" w:eastAsia="ru-RU" w:bidi="ru-RU"/>
        </w:rPr>
        <w:t>Члены Комиссии:</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Колпакова А.Ю. - старший государственный инспектор отдела контроля закупок и антимонопольного регулирования органов власти Управления Федеральной антимонопольной службы по Курганской области,</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Голуб А.А. - специалист 1 разряда Управления Федеральной антимонопольной службы по Курганской области;</w:t>
      </w:r>
    </w:p>
    <w:p>
      <w:pPr>
        <w:pStyle w:val="Style10"/>
        <w:keepNext w:val="0"/>
        <w:keepLines w:val="0"/>
        <w:widowControl w:val="0"/>
        <w:shd w:val="clear" w:color="auto" w:fill="auto"/>
        <w:bidi w:val="0"/>
        <w:spacing w:before="0" w:after="460" w:line="240" w:lineRule="auto"/>
        <w:ind w:left="0" w:right="0" w:firstLine="740"/>
        <w:jc w:val="both"/>
      </w:pPr>
      <w:r>
        <w:rPr>
          <w:color w:val="00000A"/>
          <w:spacing w:val="0"/>
          <w:w w:val="100"/>
          <w:position w:val="0"/>
          <w:shd w:val="clear" w:color="auto" w:fill="auto"/>
          <w:lang w:val="ru-RU" w:eastAsia="ru-RU" w:bidi="ru-RU"/>
        </w:rPr>
        <w:t xml:space="preserve">в отсутствии представителя Заказчика - </w:t>
      </w:r>
      <w:r>
        <w:rPr>
          <w:color w:val="000000"/>
          <w:spacing w:val="0"/>
          <w:w w:val="100"/>
          <w:position w:val="0"/>
          <w:shd w:val="clear" w:color="auto" w:fill="auto"/>
          <w:lang w:val="ru-RU" w:eastAsia="ru-RU" w:bidi="ru-RU"/>
        </w:rPr>
        <w:t>Государственного бюджетного учреждения «Шадринская центральная районная больница» (</w:t>
      </w:r>
      <w:r>
        <w:rPr>
          <w:color w:val="00000A"/>
          <w:spacing w:val="0"/>
          <w:w w:val="100"/>
          <w:position w:val="0"/>
          <w:shd w:val="clear" w:color="auto" w:fill="auto"/>
          <w:lang w:val="ru-RU" w:eastAsia="ru-RU" w:bidi="ru-RU"/>
        </w:rPr>
        <w:t xml:space="preserve">далее - ГБУ «Шадринская ЦРБ», </w:t>
      </w:r>
      <w:r>
        <w:rPr>
          <w:color w:val="000000"/>
          <w:spacing w:val="0"/>
          <w:w w:val="100"/>
          <w:position w:val="0"/>
          <w:shd w:val="clear" w:color="auto" w:fill="auto"/>
          <w:lang w:val="ru-RU" w:eastAsia="ru-RU" w:bidi="ru-RU"/>
        </w:rPr>
        <w:t>Заказчик</w:t>
      </w:r>
      <w:r>
        <w:rPr>
          <w:color w:val="00000A"/>
          <w:spacing w:val="0"/>
          <w:w w:val="100"/>
          <w:position w:val="0"/>
          <w:shd w:val="clear" w:color="auto" w:fill="auto"/>
          <w:lang w:val="ru-RU" w:eastAsia="ru-RU" w:bidi="ru-RU"/>
        </w:rPr>
        <w:t>) - о времени и месте рассмотрения жалобы извещен надлежащим образом, явку представителя не обеспечили, поступило ходатайство о</w:t>
      </w:r>
    </w:p>
    <w:p>
      <w:pPr>
        <w:pStyle w:val="Style19"/>
        <w:keepNext/>
        <w:keepLines/>
        <w:widowControl w:val="0"/>
        <w:shd w:val="clear" w:color="auto" w:fill="auto"/>
        <w:bidi w:val="0"/>
        <w:spacing w:before="0" w:after="0" w:line="240" w:lineRule="auto"/>
        <w:ind w:left="0" w:right="0" w:firstLine="0"/>
        <w:jc w:val="left"/>
        <w:rPr>
          <w:sz w:val="28"/>
          <w:szCs w:val="28"/>
        </w:rPr>
      </w:pPr>
      <w:bookmarkStart w:id="3" w:name="bookmark3"/>
      <w:r>
        <w:rPr>
          <w:color w:val="000000"/>
          <w:spacing w:val="0"/>
          <w:w w:val="100"/>
          <w:position w:val="0"/>
          <w:sz w:val="32"/>
          <w:szCs w:val="32"/>
          <w:shd w:val="clear" w:color="auto" w:fill="auto"/>
          <w:lang w:val="ru-RU" w:eastAsia="ru-RU" w:bidi="ru-RU"/>
        </w:rPr>
        <w:t>111111111111111111111111</w:t>
      </w:r>
      <w:bookmarkEnd w:id="3"/>
      <w:r>
        <w:rPr>
          <w:color w:val="000000"/>
          <w:spacing w:val="0"/>
          <w:w w:val="100"/>
          <w:position w:val="0"/>
          <w:sz w:val="32"/>
          <w:szCs w:val="32"/>
          <w:shd w:val="clear" w:color="auto" w:fill="auto"/>
          <w:lang w:val="ru-RU" w:eastAsia="ru-RU" w:bidi="ru-RU"/>
        </w:rPr>
        <w:t xml:space="preserve"> </w:t>
      </w:r>
      <w:r>
        <w:rPr>
          <w:rStyle w:val="CharStyle11"/>
          <w:color w:val="00000A"/>
        </w:rPr>
        <w:t>рассмотрении жалобы в отсутствии представителя (вх. № 4428-ЭП/23 от 13.10.2023 г.)</w:t>
      </w:r>
      <w:r>
        <w:rPr>
          <w:rStyle w:val="CharStyle11"/>
        </w:rPr>
        <w:t>,</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присутствии представителя Заявителя - Общества с ограниченной ответственностью «МЕДИКОМ» (далее - ООО «МЕДИКОМ», Заявитель) - Домбровского Д.Д. (доверенность № 1 от 09.01.2023 г.) посредством видео- конференц связи,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присутствии представителей Заинтересованного лица - Общества с ограниченной ответственностью «ДЖИ ЭС МЕДИЦИНА» (далее - ООО «ДЖИ ЭС МЕДИЦИНА», Победитель закупки, Заинтересованное лицо) посредством видео- конференц связи,</w:t>
      </w:r>
    </w:p>
    <w:p>
      <w:pPr>
        <w:pStyle w:val="Style10"/>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рассмотрев жалобу ООО «МЕДИКОМ» на действия Заказчика - ГБУ «Шадринская ЦРБ» при осуществлении закупки путем проведения электронного аукциона на поставку устройства для неинвазивного измеренения параметров сердечно-сосудистой системы,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 (извещение №</w:t>
      </w:r>
      <w:r>
        <w:fldChar w:fldCharType="begin"/>
      </w:r>
      <w:r>
        <w:rPr/>
        <w:instrText> HYPERLINK "https://zakupki.gov.ru/epz/order/notice/ea20/view/documents.html?regNumber=0343200028823000131" </w:instrText>
      </w:r>
      <w:r>
        <w:fldChar w:fldCharType="separate"/>
      </w:r>
      <w:r>
        <w:rPr>
          <w:color w:val="000000"/>
          <w:spacing w:val="0"/>
          <w:w w:val="100"/>
          <w:position w:val="0"/>
          <w:shd w:val="clear" w:color="auto" w:fill="auto"/>
          <w:lang w:val="ru-RU" w:eastAsia="ru-RU" w:bidi="ru-RU"/>
        </w:rPr>
        <w:t xml:space="preserve"> 0343200028823000131</w:t>
      </w:r>
      <w:r>
        <w:fldChar w:fldCharType="end"/>
      </w:r>
      <w:r>
        <w:rPr>
          <w:color w:val="000000"/>
          <w:spacing w:val="0"/>
          <w:w w:val="100"/>
          <w:position w:val="0"/>
          <w:shd w:val="clear" w:color="auto" w:fill="auto"/>
          <w:lang w:val="ru-RU" w:eastAsia="ru-RU" w:bidi="ru-RU"/>
        </w:rPr>
        <w:t>), и осуществив внеплановую проверку, руководствуясь статьями 99, 106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Правилами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утвержденными Постановлением Правительства Российской Федерации от 01.10.2020 № 1576 (далее - Правила осуществления контроля в сфере закупок товаров, работ, услуг),</w:t>
      </w:r>
    </w:p>
    <w:p>
      <w:pPr>
        <w:pStyle w:val="Style16"/>
        <w:keepNext/>
        <w:keepLines/>
        <w:widowControl w:val="0"/>
        <w:shd w:val="clear" w:color="auto" w:fill="auto"/>
        <w:bidi w:val="0"/>
        <w:spacing w:before="0" w:line="240" w:lineRule="auto"/>
        <w:ind w:left="0" w:right="0" w:firstLine="0"/>
        <w:jc w:val="center"/>
      </w:pPr>
      <w:bookmarkStart w:id="5" w:name="bookmark5"/>
      <w:r>
        <w:rPr>
          <w:color w:val="000000"/>
          <w:spacing w:val="0"/>
          <w:w w:val="100"/>
          <w:position w:val="0"/>
          <w:shd w:val="clear" w:color="auto" w:fill="auto"/>
          <w:lang w:val="ru-RU" w:eastAsia="ru-RU" w:bidi="ru-RU"/>
        </w:rPr>
        <w:t>УСТАНОВИЛА:</w:t>
      </w:r>
      <w:bookmarkEnd w:id="5"/>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09.10.2023 г. в Курганское УФАС России поступила жалоба </w:t>
      </w:r>
      <w:r>
        <w:rPr>
          <w:color w:val="00000A"/>
          <w:spacing w:val="0"/>
          <w:w w:val="100"/>
          <w:position w:val="0"/>
          <w:shd w:val="clear" w:color="auto" w:fill="auto"/>
          <w:lang w:val="ru-RU" w:eastAsia="ru-RU" w:bidi="ru-RU"/>
        </w:rPr>
        <w:t xml:space="preserve">ООО «МЕДИКОМ» (вх. № 4352-ЭП/23) на действия Заказчика - ГБУ «Шадринская ЦРБ» при осуществлении закупки путем проведения электронного аукциона на поставку устройства для неинвазивного измеренения параметров сердечно-сосудистой </w:t>
      </w:r>
      <w:r>
        <w:rPr>
          <w:color w:val="000000"/>
          <w:spacing w:val="0"/>
          <w:w w:val="100"/>
          <w:position w:val="0"/>
          <w:shd w:val="clear" w:color="auto" w:fill="auto"/>
          <w:lang w:val="ru-RU" w:eastAsia="ru-RU" w:bidi="ru-RU"/>
        </w:rPr>
        <w:t>системы,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 (извещение №</w:t>
      </w:r>
      <w:r>
        <w:fldChar w:fldCharType="begin"/>
      </w:r>
      <w:r>
        <w:rPr/>
        <w:instrText> HYPERLINK "https://zakupki.gov.ru/epz/order/notice/ea20/view/documents.html?regNumber=0343200028823000131" </w:instrText>
      </w:r>
      <w:r>
        <w:fldChar w:fldCharType="separate"/>
      </w:r>
      <w:r>
        <w:rPr>
          <w:color w:val="000000"/>
          <w:spacing w:val="0"/>
          <w:w w:val="100"/>
          <w:position w:val="0"/>
          <w:shd w:val="clear" w:color="auto" w:fill="auto"/>
          <w:lang w:val="ru-RU" w:eastAsia="ru-RU" w:bidi="ru-RU"/>
        </w:rPr>
        <w:t xml:space="preserve"> 0343200028823000131</w:t>
      </w:r>
      <w:r>
        <w:fldChar w:fldCharType="end"/>
      </w:r>
      <w:r>
        <w:rPr>
          <w:color w:val="000000"/>
          <w:spacing w:val="0"/>
          <w:w w:val="100"/>
          <w:position w:val="0"/>
          <w:shd w:val="clear" w:color="auto" w:fill="auto"/>
          <w:lang w:val="ru-RU" w:eastAsia="ru-RU" w:bidi="ru-RU"/>
        </w:rPr>
        <w:t>).</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жалобе Заявитель в качестве доводов указывает следующее.</w:t>
      </w:r>
    </w:p>
    <w:p>
      <w:pPr>
        <w:pStyle w:val="Style10"/>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1. Совокупность указанных характеристик описывает товар одного производителя - Комплекс программно-аппаратный суточного мониторирования АД «БиПиЛАБ» по ТУ 9441-002-39238870-2010, производства ООО «Петр Телегин» с РУ ФСР 2011/10717 от 17 апреля 2020 года.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 Заказчиком не использован соответствующий код КТРУ для данного вида медицинского изделия, а именно, Заказчиком в извещении о проведении электронного аукциона указана позиция КТРУ - 26.60.12.129-00000043. При этом, по мнению подателя жалобы, Заказчиком фактически закупается медицинское изделие - регистратор амбулаторный для мониторинга артериального давления с кодом номенклатурной классификации медицинских изделий по видам - 145190 (позиция КТРУ - 26.60.12.129-00000202).</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просит признать жалобу обоснованной; провести внеплановую проверку; признать в действиях Заказчика нарушения части 5, части 6 статьи 23, пункта 5 части 1 статьи 42 Закона о контрактной системе, пункта 4 Правил использования КТРУ; выдать обязательное для исполнения предписание о внесении изменений.</w:t>
      </w:r>
    </w:p>
    <w:p>
      <w:pPr>
        <w:pStyle w:val="Style10"/>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 xml:space="preserve">Заказчик </w:t>
      </w:r>
      <w:r>
        <w:rPr>
          <w:color w:val="000000"/>
          <w:spacing w:val="0"/>
          <w:w w:val="100"/>
          <w:position w:val="0"/>
          <w:shd w:val="clear" w:color="auto" w:fill="auto"/>
          <w:lang w:val="ru-RU" w:eastAsia="ru-RU" w:bidi="ru-RU"/>
        </w:rPr>
        <w:t>в материалы дела представил документы и сведения, запрашиваемые уведомлением исх. № 2619/23 от 10.10.2023 г. Кроме того, представлены письменные пояснения относительно позиции Заказчика по доводам жалобы, в которых Заказчик не согласен с доводом Заявителя, просит признать жалобу необоснованной.</w:t>
      </w:r>
    </w:p>
    <w:p>
      <w:pPr>
        <w:pStyle w:val="Style10"/>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 xml:space="preserve">Представители Заинтересованного лица </w:t>
      </w:r>
      <w:r>
        <w:rPr>
          <w:color w:val="000000"/>
          <w:spacing w:val="0"/>
          <w:w w:val="100"/>
          <w:position w:val="0"/>
          <w:shd w:val="clear" w:color="auto" w:fill="auto"/>
          <w:lang w:val="ru-RU" w:eastAsia="ru-RU" w:bidi="ru-RU"/>
        </w:rPr>
        <w:t>также возражали против доводов, изложенных в жалобе, просили признать жалобу необоснованной.</w:t>
      </w:r>
    </w:p>
    <w:p>
      <w:pPr>
        <w:pStyle w:val="Style10"/>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Руководствуясь статьями 99, 106 Закона о контрактной системе, Комиссией Курганского УФАС России установлено</w:t>
      </w:r>
      <w:r>
        <w:rPr>
          <w:color w:val="000000"/>
          <w:spacing w:val="0"/>
          <w:w w:val="100"/>
          <w:position w:val="0"/>
          <w:shd w:val="clear" w:color="auto" w:fill="auto"/>
          <w:lang w:val="ru-RU" w:eastAsia="ru-RU" w:bidi="ru-RU"/>
        </w:rPr>
        <w:t>, что 29.09.2023 г. в ЕИС опубликовано извещение о проведении электронного аукциона на поставку устройства для неинвазивного измеренения параметров сердечно-сосудистой системы,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 (извещение №</w:t>
      </w:r>
      <w:r>
        <w:fldChar w:fldCharType="begin"/>
      </w:r>
      <w:r>
        <w:rPr/>
        <w:instrText> HYPERLINK "https://zakupki.gov.ru/epz/order/notice/ea20/view/documents.html?regNumber=0343200028823000131" </w:instrText>
      </w:r>
      <w:r>
        <w:fldChar w:fldCharType="separate"/>
      </w:r>
      <w:r>
        <w:rPr>
          <w:color w:val="000000"/>
          <w:spacing w:val="0"/>
          <w:w w:val="100"/>
          <w:position w:val="0"/>
          <w:shd w:val="clear" w:color="auto" w:fill="auto"/>
          <w:lang w:val="ru-RU" w:eastAsia="ru-RU" w:bidi="ru-RU"/>
        </w:rPr>
        <w:t xml:space="preserve"> 0343200028823000131</w:t>
      </w:r>
      <w:r>
        <w:fldChar w:fldCharType="end"/>
      </w:r>
      <w:r>
        <w:rPr>
          <w:color w:val="000000"/>
          <w:spacing w:val="0"/>
          <w:w w:val="100"/>
          <w:position w:val="0"/>
          <w:shd w:val="clear" w:color="auto" w:fill="auto"/>
          <w:lang w:val="ru-RU" w:eastAsia="ru-RU" w:bidi="ru-RU"/>
        </w:rPr>
        <w:t>).</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составляет 174 900 рублей 00 копеек.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Заказчиком является ГБУ «Шадриснкая ЦРБ».</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момент рассмотрения жалобы по существу контракт не заключен.</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Оценивая довод Заявителя, изложенный в жалобе, а также документы, представленные Заказчиком и приобщенные к материалам дела по рассмотрению жалобы, Комиссия Курганского УФАС России приходит к следующим выводам.</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статье 7 Закона о контрактной системе, в Российской Федерации обеспечивается свободный и безвозмездный доступ к информации о контрактной системе в сфере закупок.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Открытость и прозрачность информации, указанной в части 1 настоящей статьи, обеспечиваются, в частности, путем ее размещения в единой информационной системе.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части 1 статьи 9 Закона о контрактной системе, контрактная система в сфере закупок предусматривает осуществление деятельности заказчика, специализированной организации и контрольного органа в сфере закупок на профессиональной основе с привлечением квалифицированных специалистов, обладающих теоретическими знаниями и навыками в сфере закупок.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1 статьи 49 Закона о контактной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пункта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w:t>
      </w:r>
      <w:r>
        <w:rPr>
          <w:color w:val="000000"/>
          <w:spacing w:val="0"/>
          <w:w w:val="100"/>
          <w:position w:val="0"/>
          <w:shd w:val="clear" w:color="auto" w:fill="auto"/>
          <w:lang w:val="ru-RU" w:eastAsia="ru-RU" w:bidi="ru-RU"/>
        </w:rPr>
        <w:t xml:space="preserve"> статьей 33</w:t>
      </w:r>
      <w:r>
        <w:rPr>
          <w:color w:val="000000"/>
          <w:spacing w:val="0"/>
          <w:w w:val="100"/>
          <w:position w:val="0"/>
          <w:shd w:val="clear" w:color="auto" w:fill="auto"/>
          <w:lang w:val="ru-RU" w:eastAsia="ru-RU" w:bidi="ru-RU"/>
        </w:rPr>
        <w:t xml:space="preserve"> настоящего Федерального закона.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1 части 1 статьи 33 Закона о контрактной системе установлено, что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0"/>
        <w:keepNext w:val="0"/>
        <w:keepLines w:val="0"/>
        <w:widowControl w:val="0"/>
        <w:numPr>
          <w:ilvl w:val="0"/>
          <w:numId w:val="1"/>
        </w:numPr>
        <w:shd w:val="clear" w:color="auto" w:fill="auto"/>
        <w:tabs>
          <w:tab w:pos="109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сопровождение такого указания словами "или эквивалент";</w:t>
      </w:r>
    </w:p>
    <w:p>
      <w:pPr>
        <w:pStyle w:val="Style10"/>
        <w:keepNext w:val="0"/>
        <w:keepLines w:val="0"/>
        <w:widowControl w:val="0"/>
        <w:numPr>
          <w:ilvl w:val="0"/>
          <w:numId w:val="1"/>
        </w:numPr>
        <w:shd w:val="clear" w:color="auto" w:fill="auto"/>
        <w:tabs>
          <w:tab w:pos="109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0"/>
        <w:keepNext w:val="0"/>
        <w:keepLines w:val="0"/>
        <w:widowControl w:val="0"/>
        <w:numPr>
          <w:ilvl w:val="0"/>
          <w:numId w:val="1"/>
        </w:numPr>
        <w:shd w:val="clear" w:color="auto" w:fill="auto"/>
        <w:tabs>
          <w:tab w:pos="109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0"/>
        <w:keepNext w:val="0"/>
        <w:keepLines w:val="0"/>
        <w:widowControl w:val="0"/>
        <w:numPr>
          <w:ilvl w:val="0"/>
          <w:numId w:val="1"/>
        </w:numPr>
        <w:shd w:val="clear" w:color="auto" w:fill="auto"/>
        <w:tabs>
          <w:tab w:pos="109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2 статьи 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Учитывая изложенное, Заказчики вправе самостоятельно принимать решение о способе закупке, с предоставленным правом формирования объекта, определять содержание предмета контракта, предъявлять к нему требования в соответствии с собственными потребностями с учетом ограничений, установленных статьей 33 Закона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пункта 14 части 3 статьи 4 Закона о контрактной системе, ЕИС содержит каталог товаров, работ, услуг для обеспечения государственных и муниципальных нужд (далее - КТРУ).</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Частью 6 статьи 23 Закона о контрактной системе предусмотрено, что порядок формирования и ведения в единой информационной системе каталога товаров, </w:t>
      </w:r>
      <w:r>
        <w:rPr>
          <w:color w:val="000000"/>
          <w:spacing w:val="0"/>
          <w:w w:val="100"/>
          <w:position w:val="0"/>
          <w:shd w:val="clear" w:color="auto" w:fill="auto"/>
          <w:lang w:val="ru-RU" w:eastAsia="ru-RU" w:bidi="ru-RU"/>
        </w:rPr>
        <w:t>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 (пункт 5 части 1 статьи 42 Закона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Постановлением Правительства РФ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Постановление № 145) утверждены Правила использования каталога товаров, работ, услуг для обеспечения государственных и муниципальных нужд (далее - Правила использования КТРУ).</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подпунктом «б» пункта 2 Правил использования КТРУ каталог используется заказчиками в целях описания объектов закупки, которое включается в извещение об осуществлении закупки, приглашение и документацию о закупке (в случае если Федеральным законом предусмотрена документация о закупке).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4 Правил использования КТРУ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К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0"/>
        <w:keepNext w:val="0"/>
        <w:keepLines w:val="0"/>
        <w:widowControl w:val="0"/>
        <w:numPr>
          <w:ilvl w:val="0"/>
          <w:numId w:val="3"/>
        </w:numPr>
        <w:shd w:val="clear" w:color="auto" w:fill="auto"/>
        <w:tabs>
          <w:tab w:pos="105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наименование товара, работы, услуги;</w:t>
      </w:r>
    </w:p>
    <w:p>
      <w:pPr>
        <w:pStyle w:val="Style10"/>
        <w:keepNext w:val="0"/>
        <w:keepLines w:val="0"/>
        <w:widowControl w:val="0"/>
        <w:numPr>
          <w:ilvl w:val="0"/>
          <w:numId w:val="3"/>
        </w:numPr>
        <w:shd w:val="clear" w:color="auto" w:fill="auto"/>
        <w:tabs>
          <w:tab w:pos="107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10"/>
        <w:keepNext w:val="0"/>
        <w:keepLines w:val="0"/>
        <w:widowControl w:val="0"/>
        <w:numPr>
          <w:ilvl w:val="0"/>
          <w:numId w:val="3"/>
        </w:numPr>
        <w:shd w:val="clear" w:color="auto" w:fill="auto"/>
        <w:tabs>
          <w:tab w:pos="107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описание товара, работы, услуги (при наличии такого описания в позиции).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7 Правил использования КТРУ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Федерального закона.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 письменных возражений Заказчика следует, что позиция КТРУ 26.60.12.129-00000202 «Регистратор амбулаторный для длительного мониторинга артериального давления», исходя из описания, предусматривает закупку лишь только регистратора для мониторирования артериального давления на протяжении суток на плече, в то время как закупаемое оборудование выполняет иной функционал (регистрация артериального давления и сосудистых показателей на четырех конечностях).</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«Сфигмография - это метод исследования гемодинамики и свойств сосудистой стенки, основанный на регистрации пульсовых волн в кровеносных сосудах. Сфигмография применяется как самостоятельный метод исследования, которые позволяют оценить риск сердечно-сосудистых событий. Измерения должны проводиться в тихой комнате, в положении обследуемого лежа на спине.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Объемная сфигмография в ходе одного исследования дает целостную картину состояния эластических свойств сосудов, баланса артериального давления на конечностях, лодыжечно-плечевого индекса САД с обеих сторон.</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Метод объемной сфигмографии предназначен для оценки показателей АД, артериальной жесткости, лодыжечно-плечевого индекса систолического давления других показателей баланса артериального давления на конечностях, а также для обеспечения контурного анализа пульсовых волн в артериях.</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Регистрация пульсовой волны с плечевой артерии определяется следующие параметры центральной гемодинамики: систолическое, диастолическое, среднее, пульсовое давление в аорте САДао, ДАДао, СрДао, ПАДао.</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Для определения ЛПИ требуется последовательное наложение манжет на конечности.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Осциллометрический способ измерения АД один из вариантов объемной сфигмографии с последующим анализом зависимости амплитуд пульсовой волны от давления в манжете. Анализ пульсовой волны позволяет проводить фазовый анализ сердечного цикла, периферическое сосудистое сопротивление и др. показатели. Регистрация сфигмограммы с последующим расчетом пульсовой волны (СПВ) является основным инструментальным методом оценки региональной артериальной жесткости (пункт Описания объекта закупки - «Сосудистые показатели: скорость пульсовой волны СПВ»). Доклиническое, бессимптомное поражение сосудистой стенки в виде повышения артериальной жесткости, определяемой по скорости пульсовой волны, является независимым предиктором сердечно-сосудистой смертности, что в сравнении с другими факторами риска сердечно-сосудистых заболеваний повышение аортальной жесткости является лучшим предиктором сердечно-сосудистых событий и прогностическая ценность аортальной жесткости </w:t>
      </w:r>
      <w:r>
        <w:rPr>
          <w:color w:val="000000"/>
          <w:spacing w:val="0"/>
          <w:w w:val="100"/>
          <w:position w:val="0"/>
          <w:shd w:val="clear" w:color="auto" w:fill="auto"/>
          <w:lang w:val="ru-RU" w:eastAsia="ru-RU" w:bidi="ru-RU"/>
        </w:rPr>
        <w:t>сохраняется у лиц с исходно высоким риском сердечно-сосудистых заболеваний.</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основном режиме работы первоначально все пневмоманжеты прибора накачиваются до значений давления менее диастолического АД для обеспечения регистрации поочередно на четырех конечностях. В дальнейшем после автоматического стравливания идет измерение уровня АД на конечностях. Автоматически рассчитываются показатели жесткости сосудистой стенки, контурного анализа, САД, ДАД, среднего АД, пульсового АД на всех 4-х конечностях, а также лодыжечно-плечевого индекса ЛПИс обеих сторон. Показателем артериальной жесткости является сердечно-лодыжечный сосудистый индекс. Он в значительной мере не зависит от уровня АД у пациента в момент проведения исследования и таким образом отражает «истинную жесткость» сосудистой стенки (пункт Описания объекта закупки - «Сосудистые показатели: лодыжечно-плечевой индекс ЛПИ»).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Суточный монитор артериального давления предназначен для автоматического измерения АД через равные промежутки времени, которые повторяются, как правило, сутки (24 часа), в которые пациент ведет обычный образ жизни. Измерение АД в дневное время и измерение АД во время сна, позволяет точно судить об артериальной гипертонии и выявлении повышенного АД во время сна, тем самым имеются отличия от исследований гемодинамики, свойств сосудистой стенки и регистрации пульсовых волн в кровеносных сосудах, так как пациенту нужно находиться в состоянии физического и эмоционального покоя в течении 10 минут. Во время проведения измерений пациент должен быть расслаблен, не должен двигаться и разговаривать.».</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извещению о проведении электронного аукциона Заказчиком при Описании объекта закупки использован код позиции КТРУ - 26.60.12.129-00000043 «Устройство для неинвазивного измерения параметров сердечно-сосудистой системы».</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Описываемое позицией КТРУ - 26.60.12.129-00000202 медицинское изделие «Регистратор амбулаторный для мониторинга артериального давления» не является объектом закупки и не соответствует потребностям Заказчика, поскольку требуемые Заказчику характеристики, а именно возможность измерения сосудистых показателей: Скорость пульсовой волны СПВ; Лодыжечно-плечевой индекс ЛПИ, отсутствуют в позиции КТРУ - 26.60.12.129-00000202, предлагаемой Заявителем.</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Кроме того, аппарат суточного мониторирования артериального давления должен измерять артериальное давление осциллометрическим способом, как это следует из пункта 1.1 Описания объекта закупки, в то время как у предлагаемой подателем жалобы позиции КТРУ указан способ измерения артериального давления - аускультативный, согласно данным ЕИС.</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Законом о контрактной системе и Постановлением № 145 не предусмотрено каких-либо императивных требований по выбору конкретного кода позиции КТРУ, в том числе, обязанности руководствоваться при выборе КТРУ исключительно справочной информацией о коде номенклатурной классификации медицинских изделий, указанной в каталоге.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 самостоятельно определяет код позиции КТРУ путем соотнесения объекта закупки к соответствующим кодам, наименованию КТРУ и характеристикам товара, как наиболее подходящим с учетом специфики закупки, области применения закупаемого товара, а также его характеристик, являющихся значимыми для Заказчика, в том числе, необходимыми для оказания квалифицированной медицинской помощи.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Комиссия Курганского УФАС России считает, что позиция КТРУ - 26.60.12.129-00000043, применимая Заказчиком в рамках данного закупки, является действующей, соответствует потребностям Заказчика.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 возражений Заказчика следует, что также иных позиций КТРУ, отвечающих потребности Заказчика в закупке оборудования с вышеуказанными характеристиками, в каталоге КТРУ в настоящее время нет.</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вышеизложенного, Комиссия Курганского УФАС России не усматривает в действиях Заказчика нарушений Закона о контрактной системе, довод жалобы не нашел своего подтверждения и признан необоснованным.</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 положений частей 1, 2 статьи 33 Закона о контрактной системе следует, что определяющим фактором при установлении Заказчиком соответствующих требований являются потребности Заказчика, а не хозяйствующих субъектов, принимающих участие в закупке. Законом о контрактной системе не предусмотрены ограничения по включению в извещение о закупке требований к товару, которые являются значимыми для Заказчика, отвечают его потребностям и необходимы для выполнения соответствующих функций. Закон о контрактной системе предусматривает право Заказчика определить такие требования к объекту закупки, которые соответствуют потребностям последнего с учетом специфики его деятельности.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Заказчиком в материалы дела представлена информация о том, что помимо указанного Заявителем производителя ООО «Петр Телегин» (Комплекс программно</w:t>
        <w:softHyphen/>
        <w:t>аппаратный суточного мониторирования АД «БиПиЛАБ») всем установленным в извещении требованиям, в частности требованиям Описания объекта закупки соответствует оборудование иных производителей (подтверждается представленными нормативно-техническими документами):</w:t>
      </w:r>
    </w:p>
    <w:p>
      <w:pPr>
        <w:pStyle w:val="Style10"/>
        <w:keepNext w:val="0"/>
        <w:keepLines w:val="0"/>
        <w:widowControl w:val="0"/>
        <w:numPr>
          <w:ilvl w:val="0"/>
          <w:numId w:val="5"/>
        </w:numPr>
        <w:shd w:val="clear" w:color="auto" w:fill="auto"/>
        <w:tabs>
          <w:tab w:pos="96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Анализаторы параметров кровообращения осциллометрические АПКО-8- РИЦ-М, производитель «АКСМА»;</w:t>
      </w:r>
    </w:p>
    <w:p>
      <w:pPr>
        <w:pStyle w:val="Style10"/>
        <w:keepNext w:val="0"/>
        <w:keepLines w:val="0"/>
        <w:widowControl w:val="0"/>
        <w:numPr>
          <w:ilvl w:val="0"/>
          <w:numId w:val="5"/>
        </w:numPr>
        <w:shd w:val="clear" w:color="auto" w:fill="auto"/>
        <w:tabs>
          <w:tab w:pos="96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КАП ЦГосм-«Глобус» Комплекс аппаратно-программный неинвазивного исследования центральной гемодинамики методом объемной компрессионной осциллометрии, производитель ООО «Глобус»;</w:t>
      </w:r>
    </w:p>
    <w:p>
      <w:pPr>
        <w:pStyle w:val="Style10"/>
        <w:keepNext w:val="0"/>
        <w:keepLines w:val="0"/>
        <w:widowControl w:val="0"/>
        <w:numPr>
          <w:ilvl w:val="0"/>
          <w:numId w:val="5"/>
        </w:numPr>
        <w:shd w:val="clear" w:color="auto" w:fill="auto"/>
        <w:tabs>
          <w:tab w:pos="96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МоЫ1-О-Огарк Мониторы артериального давления МоЫ1-О-Огарк с принадлежностями, производитель Фирма «1.Е.М. ОтЪН», Германия.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Факт отсутствия ограничения конкуренции среди потенциальных участником закупки подтверждается также тем, что на участие в закупке было подано 2 заявки с оборудованием различных производителем, в том числе Комплекс программно</w:t>
        <w:softHyphen/>
        <w:t>аппаратный суточного мониторирования АД «БиПиЛАБ», производитель ООО «Петр Телегин» и Анализатор параметров кровообращения осциллометрические АПКО-8-РИЦ-М, производитель «АКСМА».</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При этом, Комиссия Курганского УФАС России отмечает, что предметом рассматриваемой закупки является поставка товара, а не его изготовление, поэтому участником закупки могло выступать любое юридическое лицо, индивидуальный предприниматель, в том числе, лицо, не являющееся производителем требуемого к поставке товара, готовое поставить товар, отвечающий установленным требованиям и удовлетворяющий потребности Заказчика. Отсутствие у каких-либо лиц, заинтересованных в заключении контракта, возможности поставить товар, соответствующий потребностям Заказчика, не свидетельствует о нарушении Заказчиком прав этих лиц, а также об ограничении числа участников закупки.</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основании изложенного, довод жалобы признан Комиссией необоснованным.</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ходе проведения внеплановой проверки Комиссией Курганского УФАС России в действиях субъектов контроля нарушений требований законодательства о контрактной системе не установлено.</w:t>
      </w:r>
    </w:p>
    <w:p>
      <w:pPr>
        <w:pStyle w:val="Style10"/>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Исследовав предоставленные материалы, руководствуясь статьями 99, 105, 106 Закона о контрактной системе, Комиссией Курганского УФАС России,</w:t>
      </w:r>
    </w:p>
    <w:p>
      <w:pPr>
        <w:pStyle w:val="Style16"/>
        <w:keepNext/>
        <w:keepLines/>
        <w:widowControl w:val="0"/>
        <w:shd w:val="clear" w:color="auto" w:fill="auto"/>
        <w:bidi w:val="0"/>
        <w:spacing w:before="0" w:line="240" w:lineRule="auto"/>
        <w:ind w:left="0" w:right="0" w:firstLine="0"/>
        <w:jc w:val="center"/>
      </w:pPr>
      <w:bookmarkStart w:id="7" w:name="bookmark7"/>
      <w:r>
        <w:rPr>
          <w:color w:val="000000"/>
          <w:spacing w:val="0"/>
          <w:w w:val="100"/>
          <w:position w:val="0"/>
          <w:shd w:val="clear" w:color="auto" w:fill="auto"/>
          <w:lang w:val="ru-RU" w:eastAsia="ru-RU" w:bidi="ru-RU"/>
        </w:rPr>
        <w:t>РЕШИЛА:</w:t>
      </w:r>
      <w:bookmarkEnd w:id="7"/>
    </w:p>
    <w:p>
      <w:pPr>
        <w:pStyle w:val="Style10"/>
        <w:keepNext w:val="0"/>
        <w:keepLines w:val="0"/>
        <w:widowControl w:val="0"/>
        <w:shd w:val="clear" w:color="auto" w:fill="auto"/>
        <w:bidi w:val="0"/>
        <w:spacing w:before="0" w:after="480" w:line="240" w:lineRule="auto"/>
        <w:ind w:left="0" w:right="0" w:firstLine="740"/>
        <w:jc w:val="both"/>
      </w:pPr>
      <w:r>
        <w:rPr>
          <w:color w:val="000000"/>
          <w:spacing w:val="0"/>
          <w:w w:val="100"/>
          <w:position w:val="0"/>
          <w:shd w:val="clear" w:color="auto" w:fill="auto"/>
          <w:lang w:val="ru-RU" w:eastAsia="ru-RU" w:bidi="ru-RU"/>
        </w:rPr>
        <w:t>Признать жалобу Общества с ограниченной ответственностью «МЕДИКОМ» необоснованной.</w:t>
      </w:r>
    </w:p>
    <w:p>
      <w:pPr>
        <w:pStyle w:val="Style10"/>
        <w:keepNext w:val="0"/>
        <w:keepLines w:val="0"/>
        <w:widowControl w:val="0"/>
        <w:shd w:val="clear" w:color="auto" w:fill="auto"/>
        <w:bidi w:val="0"/>
        <w:spacing w:before="0" w:after="480" w:line="240" w:lineRule="auto"/>
        <w:ind w:left="0" w:right="0" w:firstLine="740"/>
        <w:jc w:val="both"/>
        <w:rPr>
          <w:sz w:val="26"/>
          <w:szCs w:val="26"/>
        </w:rPr>
      </w:pPr>
      <w:r>
        <w:rPr>
          <w:i/>
          <w:iCs/>
          <w:color w:val="000000"/>
          <w:spacing w:val="0"/>
          <w:w w:val="100"/>
          <w:position w:val="0"/>
          <w:sz w:val="26"/>
          <w:szCs w:val="26"/>
          <w:shd w:val="clear" w:color="auto" w:fill="auto"/>
          <w:lang w:val="ru-RU" w:eastAsia="ru-RU" w:bidi="ru-RU"/>
        </w:rPr>
        <w:t>В соответствии с частью 9 статьи 106 Закона о контрактной системе, решение может быть обжаловано в судебном порядке в течение трех месяцев с даты его принятия.</w:t>
      </w:r>
    </w:p>
    <w:p>
      <w:pPr>
        <w:pStyle w:val="Style10"/>
        <w:keepNext w:val="0"/>
        <w:keepLines w:val="0"/>
        <w:widowControl w:val="0"/>
        <w:shd w:val="clear" w:color="auto" w:fill="auto"/>
        <w:tabs>
          <w:tab w:pos="5186" w:val="left"/>
          <w:tab w:leader="underscore" w:pos="7561" w:val="left"/>
        </w:tabs>
        <w:bidi w:val="0"/>
        <w:spacing w:before="0" w:after="160" w:line="240" w:lineRule="auto"/>
        <w:ind w:left="0" w:right="0" w:firstLine="0"/>
        <w:jc w:val="both"/>
      </w:pPr>
      <w:r>
        <w:rPr>
          <w:color w:val="00000A"/>
          <w:spacing w:val="0"/>
          <w:w w:val="100"/>
          <w:position w:val="0"/>
          <w:shd w:val="clear" w:color="auto" w:fill="auto"/>
          <w:lang w:val="ru-RU" w:eastAsia="ru-RU" w:bidi="ru-RU"/>
        </w:rPr>
        <w:t>Заместитель Председателя Комиссии:</w:t>
        <w:tab/>
        <w:tab/>
        <w:t>/ И.М. Стрижова</w:t>
      </w:r>
    </w:p>
    <w:p>
      <w:pPr>
        <w:pStyle w:val="Style10"/>
        <w:keepNext w:val="0"/>
        <w:keepLines w:val="0"/>
        <w:widowControl w:val="0"/>
        <w:shd w:val="clear" w:color="auto" w:fill="auto"/>
        <w:tabs>
          <w:tab w:leader="underscore" w:pos="5186" w:val="left"/>
        </w:tabs>
        <w:bidi w:val="0"/>
        <w:spacing w:before="0" w:after="160" w:line="240" w:lineRule="auto"/>
        <w:ind w:left="2840" w:right="0" w:firstLine="0"/>
        <w:jc w:val="both"/>
      </w:pPr>
      <w:r>
        <mc:AlternateContent>
          <mc:Choice Requires="wps">
            <w:drawing>
              <wp:anchor distT="0" distB="0" distL="114300" distR="114300" simplePos="0" relativeHeight="125829382" behindDoc="0" locked="0" layoutInCell="1" allowOverlap="1">
                <wp:simplePos x="0" y="0"/>
                <wp:positionH relativeFrom="page">
                  <wp:posOffset>713105</wp:posOffset>
                </wp:positionH>
                <wp:positionV relativeFrom="paragraph">
                  <wp:posOffset>12700</wp:posOffset>
                </wp:positionV>
                <wp:extent cx="1371600" cy="252730"/>
                <wp:wrapSquare wrapText="right"/>
                <wp:docPr id="9" name="Shape 9"/>
                <a:graphic xmlns:a="http://schemas.openxmlformats.org/drawingml/2006/main">
                  <a:graphicData uri="http://schemas.microsoft.com/office/word/2010/wordprocessingShape">
                    <wps:wsp>
                      <wps:cNvSpPr txBox="1"/>
                      <wps:spPr>
                        <a:xfrm>
                          <a:ext cx="1371600" cy="2527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color w:val="00000A"/>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35" type="#_x0000_t202" style="position:absolute;margin-left:56.149999999999999pt;margin-top:1.pt;width:108.pt;height:19.900000000000002pt;z-index:-125829371;mso-wrap-distance-left:9.pt;mso-wrap-distance-right: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color w:val="00000A"/>
                          <w:spacing w:val="0"/>
                          <w:w w:val="100"/>
                          <w:position w:val="0"/>
                          <w:shd w:val="clear" w:color="auto" w:fill="auto"/>
                          <w:lang w:val="ru-RU" w:eastAsia="ru-RU" w:bidi="ru-RU"/>
                        </w:rPr>
                        <w:t>Члены Комиссии:</w:t>
                      </w:r>
                    </w:p>
                  </w:txbxContent>
                </v:textbox>
                <w10:wrap type="square" side="right" anchorx="page"/>
              </v:shape>
            </w:pict>
          </mc:Fallback>
        </mc:AlternateContent>
      </w:r>
      <w:r>
        <w:rPr>
          <w:color w:val="00000A"/>
          <w:spacing w:val="0"/>
          <w:w w:val="100"/>
          <w:position w:val="0"/>
          <w:shd w:val="clear" w:color="auto" w:fill="auto"/>
          <w:lang w:val="ru-RU" w:eastAsia="ru-RU" w:bidi="ru-RU"/>
        </w:rPr>
        <w:tab/>
        <w:t>/ А.Ю. Колпакова</w:t>
      </w:r>
    </w:p>
    <w:p>
      <w:pPr>
        <w:pStyle w:val="Style10"/>
        <w:keepNext w:val="0"/>
        <w:keepLines w:val="0"/>
        <w:widowControl w:val="0"/>
        <w:shd w:val="clear" w:color="auto" w:fill="auto"/>
        <w:tabs>
          <w:tab w:leader="underscore" w:pos="7561" w:val="left"/>
        </w:tabs>
        <w:bidi w:val="0"/>
        <w:spacing w:before="0" w:after="280" w:line="240" w:lineRule="auto"/>
        <w:ind w:left="5200" w:right="0" w:firstLine="0"/>
        <w:jc w:val="both"/>
      </w:pPr>
      <w:r>
        <w:rPr>
          <w:color w:val="00000A"/>
          <w:spacing w:val="0"/>
          <w:w w:val="100"/>
          <w:position w:val="0"/>
          <w:shd w:val="clear" w:color="auto" w:fill="auto"/>
          <w:lang w:val="ru-RU" w:eastAsia="ru-RU" w:bidi="ru-RU"/>
        </w:rPr>
        <w:tab/>
        <w:t>/ А.А. Голуб</w:t>
      </w:r>
    </w:p>
    <w:sectPr>
      <w:footerReference w:type="default" r:id="rId9"/>
      <w:footerReference w:type="first" r:id="rId10"/>
      <w:footnotePr>
        <w:pos w:val="pageBottom"/>
        <w:numFmt w:val="decimal"/>
        <w:numRestart w:val="continuous"/>
      </w:footnotePr>
      <w:pgSz w:w="11900" w:h="16840"/>
      <w:pgMar w:top="1105" w:right="534" w:bottom="1231" w:left="1099" w:header="0" w:footer="3" w:gutter="0"/>
      <w:pgNumType w:start="1"/>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720725</wp:posOffset>
              </wp:positionH>
              <wp:positionV relativeFrom="page">
                <wp:posOffset>10016490</wp:posOffset>
              </wp:positionV>
              <wp:extent cx="643255" cy="100330"/>
              <wp:wrapNone/>
              <wp:docPr id="11" name="Shape 11"/>
              <a:graphic xmlns:a="http://schemas.openxmlformats.org/drawingml/2006/main">
                <a:graphicData uri="http://schemas.microsoft.com/office/word/2010/wordprocessingShape">
                  <wps:wsp>
                    <wps:cNvSpPr txBox="1"/>
                    <wps:spPr>
                      <a:xfrm>
                        <a:ext cx="643255"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2023-3695</w:t>
                          </w:r>
                        </w:p>
                      </w:txbxContent>
                    </wps:txbx>
                    <wps:bodyPr wrap="none" lIns="0" tIns="0" rIns="0" bIns="0">
                      <a:spAutoFit/>
                    </wps:bodyPr>
                  </wps:wsp>
                </a:graphicData>
              </a:graphic>
            </wp:anchor>
          </w:drawing>
        </mc:Choice>
        <mc:Fallback>
          <w:pict>
            <v:shape id="_x0000_s1037" type="#_x0000_t202" style="position:absolute;margin-left:56.75pt;margin-top:788.70000000000005pt;width:50.64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2023-3695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725170</wp:posOffset>
              </wp:positionH>
              <wp:positionV relativeFrom="page">
                <wp:posOffset>9857740</wp:posOffset>
              </wp:positionV>
              <wp:extent cx="643255" cy="100330"/>
              <wp:wrapNone/>
              <wp:docPr id="13" name="Shape 13"/>
              <a:graphic xmlns:a="http://schemas.openxmlformats.org/drawingml/2006/main">
                <a:graphicData uri="http://schemas.microsoft.com/office/word/2010/wordprocessingShape">
                  <wps:wsp>
                    <wps:cNvSpPr txBox="1"/>
                    <wps:spPr>
                      <a:xfrm>
                        <a:ext cx="643255"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2023-3695</w:t>
                          </w:r>
                        </w:p>
                      </w:txbxContent>
                    </wps:txbx>
                    <wps:bodyPr wrap="none" lIns="0" tIns="0" rIns="0" bIns="0">
                      <a:spAutoFit/>
                    </wps:bodyPr>
                  </wps:wsp>
                </a:graphicData>
              </a:graphic>
            </wp:anchor>
          </w:drawing>
        </mc:Choice>
        <mc:Fallback>
          <w:pict>
            <v:shape id="_x0000_s1039" type="#_x0000_t202" style="position:absolute;margin-left:57.100000000000001pt;margin-top:776.20000000000005pt;width:50.6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2023-3695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561A2"/>
      <w:sz w:val="16"/>
      <w:szCs w:val="16"/>
      <w:u w:val="none"/>
    </w:rPr>
  </w:style>
  <w:style w:type="character" w:customStyle="1" w:styleId="CharStyle6">
    <w:name w:val="Основной текст (3)_"/>
    <w:basedOn w:val="DefaultParagraphFont"/>
    <w:link w:val="Style5"/>
    <w:rPr>
      <w:rFonts w:ascii="Times New Roman" w:eastAsia="Times New Roman" w:hAnsi="Times New Roman" w:cs="Times New Roman"/>
      <w:b/>
      <w:bCs/>
      <w:i w:val="0"/>
      <w:iCs w:val="0"/>
      <w:smallCaps w:val="0"/>
      <w:strike w:val="0"/>
      <w:color w:val="4561A2"/>
      <w:sz w:val="19"/>
      <w:szCs w:val="19"/>
      <w:u w:val="none"/>
    </w:rPr>
  </w:style>
  <w:style w:type="character" w:customStyle="1" w:styleId="CharStyle9">
    <w:name w:val="Подпись к картинке_"/>
    <w:basedOn w:val="DefaultParagraphFont"/>
    <w:link w:val="Style8"/>
    <w:rPr>
      <w:rFonts w:ascii="Times New Roman" w:eastAsia="Times New Roman" w:hAnsi="Times New Roman" w:cs="Times New Roman"/>
      <w:b w:val="0"/>
      <w:bCs w:val="0"/>
      <w:i w:val="0"/>
      <w:iCs w:val="0"/>
      <w:smallCaps w:val="0"/>
      <w:strike w:val="0"/>
      <w:color w:val="4561A2"/>
      <w:sz w:val="19"/>
      <w:szCs w:val="19"/>
      <w:u w:val="none"/>
    </w:rPr>
  </w:style>
  <w:style w:type="character" w:customStyle="1" w:styleId="CharStyle11">
    <w:name w:val="Основной текст_"/>
    <w:basedOn w:val="DefaultParagraphFont"/>
    <w:link w:val="Style10"/>
    <w:rPr>
      <w:rFonts w:ascii="Times New Roman" w:eastAsia="Times New Roman" w:hAnsi="Times New Roman" w:cs="Times New Roman"/>
      <w:b w:val="0"/>
      <w:bCs w:val="0"/>
      <w:i w:val="0"/>
      <w:iCs w:val="0"/>
      <w:smallCaps w:val="0"/>
      <w:strike w:val="0"/>
      <w:sz w:val="28"/>
      <w:szCs w:val="28"/>
      <w:u w:val="none"/>
    </w:rPr>
  </w:style>
  <w:style w:type="character" w:customStyle="1" w:styleId="CharStyle14">
    <w:name w:val="Колонтитул (2)_"/>
    <w:basedOn w:val="DefaultParagraphFont"/>
    <w:link w:val="Style13"/>
    <w:rPr>
      <w:rFonts w:ascii="Times New Roman" w:eastAsia="Times New Roman" w:hAnsi="Times New Roman" w:cs="Times New Roman"/>
      <w:b w:val="0"/>
      <w:bCs w:val="0"/>
      <w:i w:val="0"/>
      <w:iCs w:val="0"/>
      <w:smallCaps w:val="0"/>
      <w:strike w:val="0"/>
      <w:sz w:val="20"/>
      <w:szCs w:val="20"/>
      <w:u w:val="none"/>
    </w:rPr>
  </w:style>
  <w:style w:type="character" w:customStyle="1" w:styleId="CharStyle17">
    <w:name w:val="Заголовок №2_"/>
    <w:basedOn w:val="DefaultParagraphFont"/>
    <w:link w:val="Style16"/>
    <w:rPr>
      <w:rFonts w:ascii="Times New Roman" w:eastAsia="Times New Roman" w:hAnsi="Times New Roman" w:cs="Times New Roman"/>
      <w:b/>
      <w:bCs/>
      <w:i w:val="0"/>
      <w:iCs w:val="0"/>
      <w:smallCaps w:val="0"/>
      <w:strike w:val="0"/>
      <w:sz w:val="28"/>
      <w:szCs w:val="28"/>
      <w:u w:val="none"/>
    </w:rPr>
  </w:style>
  <w:style w:type="character" w:customStyle="1" w:styleId="CharStyle20">
    <w:name w:val="Заголовок №1_"/>
    <w:basedOn w:val="DefaultParagraphFont"/>
    <w:link w:val="Style19"/>
    <w:rPr>
      <w:rFonts w:ascii="Arial" w:eastAsia="Arial" w:hAnsi="Arial" w:cs="Arial"/>
      <w:b w:val="0"/>
      <w:bCs w:val="0"/>
      <w:i w:val="0"/>
      <w:iCs w:val="0"/>
      <w:smallCaps w:val="0"/>
      <w:strike w:val="0"/>
      <w:sz w:val="32"/>
      <w:szCs w:val="32"/>
      <w:u w:val="none"/>
    </w:rPr>
  </w:style>
  <w:style w:type="paragraph" w:customStyle="1" w:styleId="Style2">
    <w:name w:val="Основной текст (2)"/>
    <w:basedOn w:val="Normal"/>
    <w:link w:val="CharStyle3"/>
    <w:pPr>
      <w:widowControl w:val="0"/>
      <w:shd w:val="clear" w:color="auto" w:fill="auto"/>
      <w:spacing w:after="420" w:line="281" w:lineRule="auto"/>
      <w:jc w:val="center"/>
    </w:pPr>
    <w:rPr>
      <w:rFonts w:ascii="Times New Roman" w:eastAsia="Times New Roman" w:hAnsi="Times New Roman" w:cs="Times New Roman"/>
      <w:b w:val="0"/>
      <w:bCs w:val="0"/>
      <w:i w:val="0"/>
      <w:iCs w:val="0"/>
      <w:smallCaps w:val="0"/>
      <w:strike w:val="0"/>
      <w:color w:val="4561A2"/>
      <w:sz w:val="16"/>
      <w:szCs w:val="16"/>
      <w:u w:val="none"/>
    </w:rPr>
  </w:style>
  <w:style w:type="paragraph" w:customStyle="1" w:styleId="Style5">
    <w:name w:val="Основной текст (3)"/>
    <w:basedOn w:val="Normal"/>
    <w:link w:val="CharStyle6"/>
    <w:pPr>
      <w:widowControl w:val="0"/>
      <w:shd w:val="clear" w:color="auto" w:fill="auto"/>
      <w:spacing w:after="180"/>
      <w:jc w:val="center"/>
    </w:pPr>
    <w:rPr>
      <w:rFonts w:ascii="Times New Roman" w:eastAsia="Times New Roman" w:hAnsi="Times New Roman" w:cs="Times New Roman"/>
      <w:b/>
      <w:bCs/>
      <w:i w:val="0"/>
      <w:iCs w:val="0"/>
      <w:smallCaps w:val="0"/>
      <w:strike w:val="0"/>
      <w:color w:val="4561A2"/>
      <w:sz w:val="19"/>
      <w:szCs w:val="19"/>
      <w:u w:val="none"/>
    </w:rPr>
  </w:style>
  <w:style w:type="paragraph" w:customStyle="1" w:styleId="Style8">
    <w:name w:val="Подпись к картинке"/>
    <w:basedOn w:val="Normal"/>
    <w:link w:val="CharStyle9"/>
    <w:pPr>
      <w:widowControl w:val="0"/>
      <w:shd w:val="clear" w:color="auto" w:fill="auto"/>
    </w:pPr>
    <w:rPr>
      <w:rFonts w:ascii="Times New Roman" w:eastAsia="Times New Roman" w:hAnsi="Times New Roman" w:cs="Times New Roman"/>
      <w:b w:val="0"/>
      <w:bCs w:val="0"/>
      <w:i w:val="0"/>
      <w:iCs w:val="0"/>
      <w:smallCaps w:val="0"/>
      <w:strike w:val="0"/>
      <w:color w:val="4561A2"/>
      <w:sz w:val="19"/>
      <w:szCs w:val="19"/>
      <w:u w:val="none"/>
    </w:rPr>
  </w:style>
  <w:style w:type="paragraph" w:customStyle="1" w:styleId="Style10">
    <w:name w:val="Основной текст"/>
    <w:basedOn w:val="Normal"/>
    <w:link w:val="CharStyle11"/>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3">
    <w:name w:val="Колонтитул (2)"/>
    <w:basedOn w:val="Normal"/>
    <w:link w:val="CharStyle14"/>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6">
    <w:name w:val="Заголовок №2"/>
    <w:basedOn w:val="Normal"/>
    <w:link w:val="CharStyle17"/>
    <w:pPr>
      <w:widowControl w:val="0"/>
      <w:shd w:val="clear" w:color="auto" w:fill="auto"/>
      <w:spacing w:after="280"/>
      <w:jc w:val="center"/>
      <w:outlineLvl w:val="1"/>
    </w:pPr>
    <w:rPr>
      <w:rFonts w:ascii="Times New Roman" w:eastAsia="Times New Roman" w:hAnsi="Times New Roman" w:cs="Times New Roman"/>
      <w:b/>
      <w:bCs/>
      <w:i w:val="0"/>
      <w:iCs w:val="0"/>
      <w:smallCaps w:val="0"/>
      <w:strike w:val="0"/>
      <w:sz w:val="28"/>
      <w:szCs w:val="28"/>
      <w:u w:val="none"/>
    </w:rPr>
  </w:style>
  <w:style w:type="paragraph" w:customStyle="1" w:styleId="Style19">
    <w:name w:val="Заголовок №1"/>
    <w:basedOn w:val="Normal"/>
    <w:link w:val="CharStyle20"/>
    <w:pPr>
      <w:widowControl w:val="0"/>
      <w:shd w:val="clear" w:color="auto" w:fill="auto"/>
      <w:spacing w:after="540"/>
      <w:outlineLvl w:val="0"/>
    </w:pPr>
    <w:rPr>
      <w:rFonts w:ascii="Arial" w:eastAsia="Arial" w:hAnsi="Arial" w:cs="Arial"/>
      <w:b w:val="0"/>
      <w:bCs w:val="0"/>
      <w:i w:val="0"/>
      <w:iCs w:val="0"/>
      <w:smallCaps w:val="0"/>
      <w:strike w:val="0"/>
      <w:sz w:val="32"/>
      <w:szCs w:val="3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s>
</file>