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1772920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89305" distL="114300" distR="132715" simplePos="0" relativeHeight="125829379" behindDoc="0" locked="0" layoutInCell="1" allowOverlap="1">
                <wp:simplePos x="0" y="0"/>
                <wp:positionH relativeFrom="page">
                  <wp:posOffset>721360</wp:posOffset>
                </wp:positionH>
                <wp:positionV relativeFrom="paragraph">
                  <wp:posOffset>728980</wp:posOffset>
                </wp:positionV>
                <wp:extent cx="2578735" cy="1755775"/>
                <wp:wrapSquare wrapText="right"/>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57.399999999999999pt;width:203.05000000000001pt;height:138.25pt;z-index:-125829374;mso-wrap-distance-left:9.pt;mso-wrap-distance-top:56.399999999999999pt;mso-wrap-distance-right:10.450000000000001pt;mso-wrap-distance-bottom:62.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724535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721360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6.800000000000004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Общество с ограниченной ответственностью "Медико</w:t>
        <w:softHyphen/>
        <w:t>Производственная Компания "ЕЛЕЦ" 399770, Липецкая обл., г. Елец, пер.</w:t>
      </w:r>
    </w:p>
    <w:p>
      <w:pPr>
        <w:pStyle w:val="Style10"/>
        <w:keepNext w:val="0"/>
        <w:keepLines w:val="0"/>
        <w:widowControl w:val="0"/>
        <w:shd w:val="clear" w:color="auto" w:fill="auto"/>
        <w:bidi w:val="0"/>
        <w:spacing w:before="0" w:after="280" w:line="240" w:lineRule="auto"/>
        <w:ind w:left="1000" w:right="0" w:firstLine="0"/>
        <w:jc w:val="left"/>
      </w:pPr>
      <w:r>
        <w:rPr>
          <w:color w:val="000000"/>
          <w:spacing w:val="0"/>
          <w:w w:val="100"/>
          <w:position w:val="0"/>
          <w:shd w:val="clear" w:color="auto" w:fill="auto"/>
          <w:lang w:val="ru-RU" w:eastAsia="ru-RU" w:bidi="ru-RU"/>
        </w:rPr>
        <w:t>Кирпичный, д. 27 трк-е1е181о^@тай.ги; трк- тагке11пд@тай .ги</w: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Государственное бюджетное учреждение «Катайская центральная районная больница»</w:t>
      </w:r>
    </w:p>
    <w:p>
      <w:pPr>
        <w:pStyle w:val="Style10"/>
        <w:keepNext w:val="0"/>
        <w:keepLines w:val="0"/>
        <w:widowControl w:val="0"/>
        <w:shd w:val="clear" w:color="auto" w:fill="auto"/>
        <w:bidi w:val="0"/>
        <w:spacing w:before="0" w:after="2340" w:line="240" w:lineRule="auto"/>
        <w:ind w:left="1000" w:right="0" w:firstLine="0"/>
        <w:jc w:val="left"/>
      </w:pPr>
      <w:r>
        <w:rPr>
          <w:color w:val="000000"/>
          <w:spacing w:val="0"/>
          <w:w w:val="100"/>
          <w:position w:val="0"/>
          <w:shd w:val="clear" w:color="auto" w:fill="auto"/>
          <w:lang w:val="ru-RU" w:eastAsia="ru-RU" w:bidi="ru-RU"/>
        </w:rPr>
        <w:t>641700, Курганская обл, Катайский р-н, Катайск г, ул. Матросова, 80 ка!;сгЪ@тай.ги; ип§1;ка1:сгЪ@тай.ги</w:t>
      </w:r>
    </w:p>
    <w:p>
      <w:pPr>
        <w:pStyle w:val="Style16"/>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 № 045/06/106-555/2023</w:t>
      </w:r>
      <w:bookmarkEnd w:id="0"/>
    </w:p>
    <w:p>
      <w:pPr>
        <w:pStyle w:val="Style16"/>
        <w:keepNext/>
        <w:keepLines/>
        <w:widowControl w:val="0"/>
        <w:shd w:val="clear" w:color="auto" w:fill="auto"/>
        <w:bidi w:val="0"/>
        <w:spacing w:before="0" w:after="600" w:line="240" w:lineRule="auto"/>
        <w:ind w:left="4580" w:right="0" w:hanging="3580"/>
        <w:jc w:val="left"/>
      </w:pPr>
      <w:r>
        <w:rPr>
          <w:color w:val="000000"/>
          <w:spacing w:val="0"/>
          <w:w w:val="100"/>
          <w:position w:val="0"/>
          <w:shd w:val="clear" w:color="auto" w:fill="auto"/>
          <w:lang w:val="ru-RU" w:eastAsia="ru-RU" w:bidi="ru-RU"/>
        </w:rPr>
        <w:t>по делу о нарушении законодательства о контрактной системе в сфере закупок</w:t>
      </w:r>
    </w:p>
    <w:p>
      <w:pPr>
        <w:pStyle w:val="Style10"/>
        <w:keepNext w:val="0"/>
        <w:keepLines w:val="0"/>
        <w:widowControl w:val="0"/>
        <w:shd w:val="clear" w:color="auto" w:fill="auto"/>
        <w:tabs>
          <w:tab w:pos="8918" w:val="left"/>
        </w:tabs>
        <w:bidi w:val="0"/>
        <w:spacing w:before="0" w:after="280" w:line="240" w:lineRule="auto"/>
        <w:ind w:left="0" w:right="0" w:firstLine="0"/>
        <w:jc w:val="both"/>
      </w:pPr>
      <w:r>
        <w:rPr>
          <w:color w:val="000000"/>
          <w:spacing w:val="0"/>
          <w:w w:val="100"/>
          <w:position w:val="0"/>
          <w:shd w:val="clear" w:color="auto" w:fill="auto"/>
          <w:lang w:val="ru-RU" w:eastAsia="ru-RU" w:bidi="ru-RU"/>
        </w:rPr>
        <w:t>12.10.2023 г.</w:t>
        <w:tab/>
        <w:t>г. Курган</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6"/>
        <w:keepNext/>
        <w:keepLines/>
        <w:widowControl w:val="0"/>
        <w:shd w:val="clear" w:color="auto" w:fill="auto"/>
        <w:bidi w:val="0"/>
        <w:spacing w:before="0" w:after="0" w:line="240" w:lineRule="auto"/>
        <w:ind w:left="0" w:right="0" w:firstLine="740"/>
        <w:jc w:val="both"/>
      </w:pPr>
      <w:bookmarkStart w:id="3" w:name="bookmark3"/>
      <w:r>
        <w:rPr>
          <w:color w:val="000000"/>
          <w:spacing w:val="0"/>
          <w:w w:val="100"/>
          <w:position w:val="0"/>
          <w:shd w:val="clear" w:color="auto" w:fill="auto"/>
          <w:lang w:val="ru-RU" w:eastAsia="ru-RU" w:bidi="ru-RU"/>
        </w:rPr>
        <w:t>Члены Комиссии:</w:t>
      </w:r>
      <w:bookmarkEnd w:id="3"/>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Колпакова А.Ю.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Голуб А.А. - специалист 1 разряда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400" w:line="240" w:lineRule="auto"/>
        <w:ind w:left="0" w:right="0" w:firstLine="720"/>
        <w:jc w:val="both"/>
      </w:pPr>
      <w:r>
        <w:rPr>
          <w:color w:val="00000A"/>
          <w:spacing w:val="0"/>
          <w:w w:val="100"/>
          <w:position w:val="0"/>
          <w:shd w:val="clear" w:color="auto" w:fill="auto"/>
          <w:lang w:val="ru-RU" w:eastAsia="ru-RU" w:bidi="ru-RU"/>
        </w:rPr>
        <w:t xml:space="preserve">в отсутствии представителя Заказчика - </w:t>
      </w:r>
      <w:r>
        <w:rPr>
          <w:color w:val="000000"/>
          <w:spacing w:val="0"/>
          <w:w w:val="100"/>
          <w:position w:val="0"/>
          <w:shd w:val="clear" w:color="auto" w:fill="auto"/>
          <w:lang w:val="ru-RU" w:eastAsia="ru-RU" w:bidi="ru-RU"/>
        </w:rPr>
        <w:t>Государственного бюджетного</w:t>
      </w:r>
    </w:p>
    <w:p>
      <w:pPr>
        <w:pStyle w:val="Style19"/>
        <w:keepNext/>
        <w:keepLines/>
        <w:widowControl w:val="0"/>
        <w:shd w:val="clear" w:color="auto" w:fill="auto"/>
        <w:bidi w:val="0"/>
        <w:spacing w:before="0" w:after="0" w:line="240" w:lineRule="auto"/>
        <w:ind w:left="0" w:right="0" w:firstLine="0"/>
        <w:jc w:val="left"/>
        <w:rPr>
          <w:sz w:val="28"/>
          <w:szCs w:val="28"/>
        </w:rPr>
      </w:pPr>
      <w:bookmarkStart w:id="5" w:name="bookmark5"/>
      <w:r>
        <w:rPr>
          <w:color w:val="000000"/>
          <w:spacing w:val="0"/>
          <w:w w:val="100"/>
          <w:position w:val="0"/>
          <w:sz w:val="32"/>
          <w:szCs w:val="32"/>
          <w:shd w:val="clear" w:color="auto" w:fill="auto"/>
          <w:lang w:val="ru-RU" w:eastAsia="ru-RU" w:bidi="ru-RU"/>
        </w:rPr>
        <w:t>111111111111111111111111</w:t>
      </w:r>
      <w:bookmarkEnd w:id="5"/>
      <w:r>
        <w:rPr>
          <w:color w:val="000000"/>
          <w:spacing w:val="0"/>
          <w:w w:val="100"/>
          <w:position w:val="0"/>
          <w:sz w:val="32"/>
          <w:szCs w:val="32"/>
          <w:shd w:val="clear" w:color="auto" w:fill="auto"/>
          <w:lang w:val="ru-RU" w:eastAsia="ru-RU" w:bidi="ru-RU"/>
        </w:rPr>
        <w:t xml:space="preserve"> </w:t>
      </w:r>
      <w:r>
        <w:rPr>
          <w:rStyle w:val="CharStyle11"/>
        </w:rPr>
        <w:t xml:space="preserve">учреждения «Катайская центральная районная больница» </w:t>
      </w:r>
      <w:r>
        <w:rPr>
          <w:rStyle w:val="CharStyle11"/>
          <w:color w:val="00000A"/>
        </w:rPr>
        <w:t>(далее - ГБУ «</w:t>
      </w:r>
      <w:r>
        <w:rPr>
          <w:rStyle w:val="CharStyle11"/>
        </w:rPr>
        <w:t>Катайская ЦРБ», Заказчик</w:t>
      </w:r>
      <w:r>
        <w:rPr>
          <w:rStyle w:val="CharStyle11"/>
          <w:color w:val="00000A"/>
        </w:rPr>
        <w:t>) -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обеспечили, представлены письменные пояснения относительно доводов жалобы в которых также отражена просьба рассмотрения данной жалобы в отсутствии представителя,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представителя Заявителя - Общества с ограниченной ответственностью «Медико-Производственная Компания «Елец» (далее - ООО «МПК «Елец», Заявитель)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 ходатайств о рассмотрении жалобы в отсутствие представителя не поступало,</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рассмотрев жалобу ООО «МПК «Елец» на действия Заказчика - </w:t>
      </w:r>
      <w:r>
        <w:rPr>
          <w:color w:val="00000A"/>
          <w:spacing w:val="0"/>
          <w:w w:val="100"/>
          <w:position w:val="0"/>
          <w:shd w:val="clear" w:color="auto" w:fill="auto"/>
          <w:lang w:val="ru-RU" w:eastAsia="ru-RU" w:bidi="ru-RU"/>
        </w:rPr>
        <w:t>ГБУ «</w:t>
      </w:r>
      <w:r>
        <w:rPr>
          <w:color w:val="000000"/>
          <w:spacing w:val="0"/>
          <w:w w:val="100"/>
          <w:position w:val="0"/>
          <w:shd w:val="clear" w:color="auto" w:fill="auto"/>
          <w:lang w:val="ru-RU" w:eastAsia="ru-RU" w:bidi="ru-RU"/>
        </w:rPr>
        <w:t>Катайская ЦРБ» при осуществлении закупки путем проведения электронного аукциона на поставку медицинских изделий (система инфузионная) (извещение № 0343300002523000097),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6"/>
        <w:keepNext/>
        <w:keepLines/>
        <w:widowControl w:val="0"/>
        <w:shd w:val="clear" w:color="auto" w:fill="auto"/>
        <w:bidi w:val="0"/>
        <w:spacing w:before="0" w:line="240" w:lineRule="auto"/>
        <w:ind w:left="0" w:right="0" w:firstLine="0"/>
        <w:jc w:val="center"/>
      </w:pPr>
      <w:bookmarkStart w:id="7" w:name="bookmark7"/>
      <w:r>
        <w:rPr>
          <w:color w:val="000000"/>
          <w:spacing w:val="0"/>
          <w:w w:val="100"/>
          <w:position w:val="0"/>
          <w:shd w:val="clear" w:color="auto" w:fill="auto"/>
          <w:lang w:val="ru-RU" w:eastAsia="ru-RU" w:bidi="ru-RU"/>
        </w:rPr>
        <w:t>УСТАНОВИЛА:</w:t>
      </w:r>
      <w:bookmarkEnd w:id="7"/>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09.10.2023 г. в Курганское УФАС России поступила жалоба </w:t>
      </w:r>
      <w:r>
        <w:rPr>
          <w:color w:val="00000A"/>
          <w:spacing w:val="0"/>
          <w:w w:val="100"/>
          <w:position w:val="0"/>
          <w:shd w:val="clear" w:color="auto" w:fill="auto"/>
          <w:lang w:val="ru-RU" w:eastAsia="ru-RU" w:bidi="ru-RU"/>
        </w:rPr>
        <w:t>ООО «МПК «Елец» (вх. № 4353-ЭП/23) на действия Заказчика - ГБУ «Катайская ЦРБ» при осуществлении закупки путем проведения электронного аукциона на поставку медицинских изделий (система инфузионная) (извещение № 0343300002523000097)</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в извещении о проведении электронного аукциона неправомерно установлено требование о предоставлении в составе заявки копии регистрационного удостоверения на медицинское изделие - набор базовый для внутривенных вливаний.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Заявитель просит приостановить проведение закупки до рассмотрения настоящей жалобы по существу; выдать Заказчику предписание об устранении указанных нарушений в соответствии с законодательством Российской Федерации путем исключения из извещения обязанности участника закупки предоставлять в </w:t>
      </w:r>
      <w:r>
        <w:rPr>
          <w:color w:val="000000"/>
          <w:spacing w:val="0"/>
          <w:w w:val="100"/>
          <w:position w:val="0"/>
          <w:shd w:val="clear" w:color="auto" w:fill="auto"/>
          <w:lang w:val="ru-RU" w:eastAsia="ru-RU" w:bidi="ru-RU"/>
        </w:rPr>
        <w:t>составе своей заявки документы, не предусмотренные действующим законодательством.</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Заказчик </w:t>
      </w:r>
      <w:r>
        <w:rPr>
          <w:color w:val="000000"/>
          <w:spacing w:val="0"/>
          <w:w w:val="100"/>
          <w:position w:val="0"/>
          <w:shd w:val="clear" w:color="auto" w:fill="auto"/>
          <w:lang w:val="ru-RU" w:eastAsia="ru-RU" w:bidi="ru-RU"/>
        </w:rPr>
        <w:t>в материалы дела представил документы и сведения, запрашиваемые уведомлением исх. № 2620/23 от 10.10.2023 г. Кроме того, представлены письменные пояснения относительно позиции Заказчика по доводу жалобы, в которых Заказчик не согласен с доводом Заявителя, просит признать жалобу необоснованной.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105,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29.09.2023 г. в ЕИС опубликовано извещение о проведении электронного аукциона на поставку медицинских изделий (система инфузионная) (извещение № 0343300002523000097).</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336 076 рублей 80 копеек.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является ГБУ «Катайская ЦРБ».</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 Заявителя, изложенный в жалобе, а также документы, представленные уполномоченным учреждением и приобщенные к материалам дела по рассмотрению жалобы,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w:t>
      </w:r>
      <w:r>
        <w:rPr>
          <w:color w:val="000000"/>
          <w:spacing w:val="0"/>
          <w:w w:val="100"/>
          <w:position w:val="0"/>
          <w:shd w:val="clear" w:color="auto" w:fill="auto"/>
          <w:lang w:val="ru-RU" w:eastAsia="ru-RU" w:bidi="ru-RU"/>
        </w:rPr>
        <w:t>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49 Закона о контактной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6 статьи 23 Закона о контрактной системе предусмотрено,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0"/>
        <w:keepNext w:val="0"/>
        <w:keepLines w:val="0"/>
        <w:widowControl w:val="0"/>
        <w:numPr>
          <w:ilvl w:val="0"/>
          <w:numId w:val="1"/>
        </w:numPr>
        <w:shd w:val="clear" w:color="auto" w:fill="auto"/>
        <w:tabs>
          <w:tab w:pos="112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1"/>
        </w:numPr>
        <w:shd w:val="clear" w:color="auto" w:fill="auto"/>
        <w:tabs>
          <w:tab w:pos="112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1"/>
        </w:numPr>
        <w:shd w:val="clear" w:color="auto" w:fill="auto"/>
        <w:tabs>
          <w:tab w:pos="112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w:t>
      </w:r>
      <w:r>
        <w:rPr>
          <w:color w:val="000000"/>
          <w:spacing w:val="0"/>
          <w:w w:val="100"/>
          <w:position w:val="0"/>
          <w:shd w:val="clear" w:color="auto" w:fill="auto"/>
          <w:lang w:val="ru-RU" w:eastAsia="ru-RU" w:bidi="ru-RU"/>
        </w:rPr>
        <w:t xml:space="preserve"> правилами</w:t>
      </w:r>
      <w:r>
        <w:rPr>
          <w:color w:val="000000"/>
          <w:spacing w:val="0"/>
          <w:w w:val="100"/>
          <w:position w:val="0"/>
          <w:shd w:val="clear" w:color="auto" w:fill="auto"/>
          <w:lang w:val="ru-RU" w:eastAsia="ru-RU" w:bidi="ru-RU"/>
        </w:rPr>
        <w:t xml:space="preserve"> использования каталога товаров, работ, услуг для обеспечения государственных и муниципальных нужд, установленными в соответствии с </w:t>
      </w:r>
      <w:r>
        <w:rPr>
          <w:color w:val="000000"/>
          <w:spacing w:val="0"/>
          <w:w w:val="100"/>
          <w:position w:val="0"/>
          <w:shd w:val="clear" w:color="auto" w:fill="auto"/>
          <w:lang w:val="ru-RU" w:eastAsia="ru-RU" w:bidi="ru-RU"/>
        </w:rPr>
        <w:t xml:space="preserve">частью 6 статьи 23 </w:t>
      </w:r>
      <w:r>
        <w:rPr>
          <w:color w:val="000000"/>
          <w:spacing w:val="0"/>
          <w:w w:val="100"/>
          <w:position w:val="0"/>
          <w:shd w:val="clear" w:color="auto" w:fill="auto"/>
          <w:lang w:val="ru-RU" w:eastAsia="ru-RU" w:bidi="ru-RU"/>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(пункт 5 части 1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пунктов 1, 2 части 2 статьи 42 Закона о контрактной системе извещение об осуществлении закупки, если иное не предусмотрено таким законом, должно содержать в виде электронного документа:</w:t>
      </w:r>
    </w:p>
    <w:p>
      <w:pPr>
        <w:pStyle w:val="Style10"/>
        <w:keepNext w:val="0"/>
        <w:keepLines w:val="0"/>
        <w:widowControl w:val="0"/>
        <w:numPr>
          <w:ilvl w:val="0"/>
          <w:numId w:val="3"/>
        </w:numPr>
        <w:shd w:val="clear" w:color="auto" w:fill="auto"/>
        <w:tabs>
          <w:tab w:pos="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в соответствии со статьей 33 Федерального закона о контрактной системе;</w:t>
      </w:r>
    </w:p>
    <w:p>
      <w:pPr>
        <w:pStyle w:val="Style10"/>
        <w:keepNext w:val="0"/>
        <w:keepLines w:val="0"/>
        <w:widowControl w:val="0"/>
        <w:numPr>
          <w:ilvl w:val="0"/>
          <w:numId w:val="3"/>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Для участия в конкурентном способе заявка на участие в закупке, если иное не предусмотрено настоящим Федеральным законом, должна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w:t>
      </w:r>
      <w:r>
        <w:rPr>
          <w:color w:val="000000"/>
          <w:spacing w:val="0"/>
          <w:w w:val="100"/>
          <w:position w:val="0"/>
          <w:shd w:val="clear" w:color="auto" w:fill="auto"/>
          <w:lang w:val="ru-RU" w:eastAsia="ru-RU" w:bidi="ru-RU"/>
        </w:rPr>
        <w:t>соответствии с законодательством Российской Федерации они передаются вместе с товаром (подпункт «в» пункта 2 части 1 статьи 43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Правилам, позиции каталога товаров, работ, услуг для обеспечения государственных и муниципальных нужд (далее - КТРУ) формируются в соответствии с пунктом 10 Правил формирования и ведения в ЕИС в сфере закупок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К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товара, работы, услуги;</w:t>
      </w:r>
    </w:p>
    <w:p>
      <w:pPr>
        <w:pStyle w:val="Style10"/>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5"/>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положениями извещения о проведении электронного аукциона, в том числе электронного документа Описание объекта закупки (Техническое задание) Заказчику требуется к поставке медицинские изделия «Набор базовый для внутривенных вливаний» по трем позициям указанного электронного документа.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закупаемого товара и требования к нему сформированы Заказчиком с использованием позиции КТРУ - 32.50.50.000-00234, а также с применением дополнительных характеристик, не предусмотренных позицией указанного КТРУ, с указанием обоснования применения дополнительных характеристик.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условиям закупки, Заказчиком установлено требование о предоставлении в составе заявки копии регистрационного удостоверения.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соответствие с пунктом 4 Правил использования КТРУ для обеспечения государственных и муниципальных нужд заказчики обязаны применять наименование товаров, работ, услуг, включенное в позицию каталога.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Указанные в файле - Описание объекта закупки (Техническое задание) по позициям 1, 2, 4 наименование товара «Набор базовый для внутривенных вливаний» соответствует наименованию, включенному в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письменных пояснений Заказчика следует, что закупаемые наборы базовые для внутривенных вливаний и наборы для переливания крови совокупностью зарегистрированных медицинских изделий не являются, а представляют собой единое медицинское изделие.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соответствие с ГОСТ 25047-87 наборы базовые для внутривенных вливаний называются устройствами комплектными инфузионными однократного применения для вливания реципиенту растворов из стеклянных и полимерных емкостей.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ГОСТ имеются схемы изделия, из которых очевидно, что изделие является единым, его отдельные компоненты не имеют самостоятельного назначения и не являются самостоятельными медицинскими изделиями. Например, трубка, капельница, фильтрующий узел, инъекционный порт - таких медицинских изделий нет. Кроме того, все комплектующие поставляются не отдельно, а в заводском соединении.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имеется множество зарегистрированных инфузионных систем. Отсутствие в государственном реестре медицинских изделий с наименованиями "Набор базовый для внутривенных вливаний" и "Набор для переливания крови" объясняется тем, что производители при регистрации медицинских изделий не руководствуются наименованиями по КТРУ, а формируют их самостоятельно.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коду вида медицинского изделия 136330 в государственном реестре медицинских изделий выходит множество регистрационных удостоверений.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отмечает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части 1 статьи 38 Федеральный закон от 21.11.2011 № 323-ФЗ «Об основах охраны здоровья граждан в Российской Федерации» (далее - Закон № 323- 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w:t>
      </w:r>
      <w:r>
        <w:rPr>
          <w:color w:val="000000"/>
          <w:spacing w:val="0"/>
          <w:w w:val="100"/>
          <w:position w:val="0"/>
          <w:shd w:val="clear" w:color="auto" w:fill="auto"/>
          <w:lang w:val="ru-RU" w:eastAsia="ru-RU" w:bidi="ru-RU"/>
        </w:rPr>
        <w:t>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4 статьи 38 Закона № 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6 Правил государственной регистрации медицинских изделий, утвержденных Постановлением Правительства РФ от 27.12.2012 № 1416 (далее - Правила № 1416) 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56 Правил № 1416 в регистрационном удостоверении указывается также наименование медицинского изделия (с указанием принадлежностей, необходимых для применения медицинского изделия по назначению).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регистрационное удостоверение на медицинское изделие является документом, подтверждающим законность оборота указанной продукции на территории РФ.</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Между тем Заказчиком представлены доказательства, что требование регистрационного удостоверения не ограничивает количество участников, так как на официальном сайте Росздравнадзора по коду вида медицинского изделия 136330 зарегистрировано большое количество инфузионных систем.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Доказательств наличия объективных оснований, препятствующих Заявителю осуществить поставку товаров с указанными характеристиками, не представлено.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Курганского УФАС России, изучив материалы дела полагает, что действия Заказчика не противоречат действующему законодательству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а также в составе жалобы Заявителем не представлено документов и сведений, свидетельствующих о нарушении Заказчиком положений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Курганского УФАС России приходит к выводу, что довод жалобы не нашел своего подтверждения и является необоснованным.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проведения внеплановой проверки нарушений требований законодательства о контрактной системе Комиссией Курганского УФАС России в действиях Заказчика не установлено.</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статьями 99, 105, 106 Закона о контрактной системе, Комиссией Курганского УФАС России,</w:t>
      </w:r>
    </w:p>
    <w:p>
      <w:pPr>
        <w:pStyle w:val="Style16"/>
        <w:keepNext/>
        <w:keepLines/>
        <w:widowControl w:val="0"/>
        <w:shd w:val="clear" w:color="auto" w:fill="auto"/>
        <w:bidi w:val="0"/>
        <w:spacing w:before="0" w:line="240" w:lineRule="auto"/>
        <w:ind w:left="0" w:right="0" w:firstLine="0"/>
        <w:jc w:val="center"/>
      </w:pPr>
      <w:bookmarkStart w:id="9" w:name="bookmark9"/>
      <w:r>
        <w:rPr>
          <w:color w:val="000000"/>
          <w:spacing w:val="0"/>
          <w:w w:val="100"/>
          <w:position w:val="0"/>
          <w:shd w:val="clear" w:color="auto" w:fill="auto"/>
          <w:lang w:val="ru-RU" w:eastAsia="ru-RU" w:bidi="ru-RU"/>
        </w:rPr>
        <w:t>РЕШИЛА:</w:t>
      </w:r>
      <w:bookmarkEnd w:id="9"/>
    </w:p>
    <w:p>
      <w:pPr>
        <w:pStyle w:val="Style10"/>
        <w:keepNext w:val="0"/>
        <w:keepLines w:val="0"/>
        <w:widowControl w:val="0"/>
        <w:shd w:val="clear" w:color="auto" w:fill="auto"/>
        <w:bidi w:val="0"/>
        <w:spacing w:before="0" w:after="380" w:line="240" w:lineRule="auto"/>
        <w:ind w:left="0" w:right="0" w:firstLine="740"/>
        <w:jc w:val="both"/>
      </w:pPr>
      <w:r>
        <w:rPr>
          <w:color w:val="000000"/>
          <w:spacing w:val="0"/>
          <w:w w:val="100"/>
          <w:position w:val="0"/>
          <w:shd w:val="clear" w:color="auto" w:fill="auto"/>
          <w:lang w:val="ru-RU" w:eastAsia="ru-RU" w:bidi="ru-RU"/>
        </w:rPr>
        <w:t>Признать жалобу Общества с ограниченной ответственностью «Медико</w:t>
        <w:softHyphen/>
        <w:t>Производственная Компания «Елец» необоснованной.</w:t>
      </w:r>
    </w:p>
    <w:p>
      <w:pPr>
        <w:pStyle w:val="Style10"/>
        <w:keepNext w:val="0"/>
        <w:keepLines w:val="0"/>
        <w:widowControl w:val="0"/>
        <w:shd w:val="clear" w:color="auto" w:fill="auto"/>
        <w:bidi w:val="0"/>
        <w:spacing w:before="0" w:after="480" w:line="240" w:lineRule="auto"/>
        <w:ind w:left="0" w:right="0" w:firstLine="740"/>
        <w:jc w:val="both"/>
        <w:rPr>
          <w:sz w:val="26"/>
          <w:szCs w:val="26"/>
        </w:rPr>
      </w:pPr>
      <w:r>
        <w:rPr>
          <w:i/>
          <w:iCs/>
          <w:color w:val="000000"/>
          <w:spacing w:val="0"/>
          <w:w w:val="100"/>
          <w:position w:val="0"/>
          <w:sz w:val="26"/>
          <w:szCs w:val="26"/>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tabs>
          <w:tab w:leader="underscore" w:pos="7561" w:val="left"/>
        </w:tabs>
        <w:bidi w:val="0"/>
        <w:spacing w:before="0" w:after="160" w:line="240" w:lineRule="auto"/>
        <w:ind w:left="0" w:right="0" w:firstLine="140"/>
        <w:jc w:val="both"/>
      </w:pPr>
      <w:r>
        <w:rPr>
          <w:color w:val="00000A"/>
          <w:spacing w:val="0"/>
          <w:w w:val="100"/>
          <w:position w:val="0"/>
          <w:shd w:val="clear" w:color="auto" w:fill="auto"/>
          <w:lang w:val="ru-RU" w:eastAsia="ru-RU" w:bidi="ru-RU"/>
        </w:rPr>
        <w:t xml:space="preserve">Заместитель Председателя Комиссии: </w:t>
        <w:tab/>
        <w:t>/ И.М. Стрижова</w:t>
      </w:r>
    </w:p>
    <w:p>
      <w:pPr>
        <w:pStyle w:val="Style10"/>
        <w:keepNext w:val="0"/>
        <w:keepLines w:val="0"/>
        <w:widowControl w:val="0"/>
        <w:shd w:val="clear" w:color="auto" w:fill="auto"/>
        <w:tabs>
          <w:tab w:leader="underscore" w:pos="5106" w:val="left"/>
        </w:tabs>
        <w:bidi w:val="0"/>
        <w:spacing w:before="0" w:after="160" w:line="240" w:lineRule="auto"/>
        <w:ind w:left="2720" w:right="0" w:firstLine="0"/>
        <w:jc w:val="both"/>
      </w:pPr>
      <w:r>
        <mc:AlternateContent>
          <mc:Choice Requires="wps">
            <w:drawing>
              <wp:anchor distT="0" distB="0" distL="114300" distR="114300" simplePos="0" relativeHeight="125829382" behindDoc="0" locked="0" layoutInCell="1" allowOverlap="1">
                <wp:simplePos x="0" y="0"/>
                <wp:positionH relativeFrom="page">
                  <wp:posOffset>771525</wp:posOffset>
                </wp:positionH>
                <wp:positionV relativeFrom="paragraph">
                  <wp:posOffset>12700</wp:posOffset>
                </wp:positionV>
                <wp:extent cx="1371600" cy="252730"/>
                <wp:wrapSquare wrapText="right"/>
                <wp:docPr id="9" name="Shape 9"/>
                <a:graphic xmlns:a="http://schemas.openxmlformats.org/drawingml/2006/main">
                  <a:graphicData uri="http://schemas.microsoft.com/office/word/2010/wordprocessingShape">
                    <wps:wsp>
                      <wps:cNvSpPr txBox="1"/>
                      <wps:spPr>
                        <a:xfrm>
                          <a:ext cx="137160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5" type="#_x0000_t202" style="position:absolute;margin-left:60.75pt;margin-top:1.pt;width:108.pt;height:19.900000000000002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A"/>
          <w:spacing w:val="0"/>
          <w:w w:val="100"/>
          <w:position w:val="0"/>
          <w:shd w:val="clear" w:color="auto" w:fill="auto"/>
          <w:lang w:val="ru-RU" w:eastAsia="ru-RU" w:bidi="ru-RU"/>
        </w:rPr>
        <w:tab/>
        <w:t>/ А.Ю. Колпакова</w:t>
      </w:r>
    </w:p>
    <w:p>
      <w:pPr>
        <w:pStyle w:val="Style10"/>
        <w:keepNext w:val="0"/>
        <w:keepLines w:val="0"/>
        <w:widowControl w:val="0"/>
        <w:shd w:val="clear" w:color="auto" w:fill="auto"/>
        <w:tabs>
          <w:tab w:leader="underscore" w:pos="7561" w:val="left"/>
        </w:tabs>
        <w:bidi w:val="0"/>
        <w:spacing w:before="0" w:after="280" w:line="240" w:lineRule="auto"/>
        <w:ind w:left="5180" w:right="0" w:firstLine="0"/>
        <w:jc w:val="both"/>
      </w:pPr>
      <w:r>
        <w:rPr>
          <w:color w:val="00000A"/>
          <w:spacing w:val="0"/>
          <w:w w:val="100"/>
          <w:position w:val="0"/>
          <w:shd w:val="clear" w:color="auto" w:fill="auto"/>
          <w:lang w:val="ru-RU" w:eastAsia="ru-RU" w:bidi="ru-RU"/>
        </w:rPr>
        <w:tab/>
        <w:t>/ А.А. Голуб</w:t>
      </w:r>
    </w:p>
    <w:sectPr>
      <w:footerReference w:type="default" r:id="rId9"/>
      <w:footerReference w:type="first" r:id="rId10"/>
      <w:footnotePr>
        <w:pos w:val="pageBottom"/>
        <w:numFmt w:val="decimal"/>
        <w:numRestart w:val="continuous"/>
      </w:footnotePr>
      <w:pgSz w:w="11900" w:h="16840"/>
      <w:pgMar w:top="1105" w:right="550" w:bottom="1231" w:left="1092"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715010</wp:posOffset>
              </wp:positionH>
              <wp:positionV relativeFrom="page">
                <wp:posOffset>10016490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2023-3644</w:t>
                          </w:r>
                        </w:p>
                      </w:txbxContent>
                    </wps:txbx>
                    <wps:bodyPr wrap="none" lIns="0" tIns="0" rIns="0" bIns="0">
                      <a:spAutoFit/>
                    </wps:bodyPr>
                  </wps:wsp>
                </a:graphicData>
              </a:graphic>
            </wp:anchor>
          </w:drawing>
        </mc:Choice>
        <mc:Fallback>
          <w:pict>
            <v:shape id="_x0000_s1037" type="#_x0000_t202" style="position:absolute;margin-left:56.300000000000004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2023-3644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9857740</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2023-3644</w:t>
                          </w:r>
                        </w:p>
                      </w:txbxContent>
                    </wps:txbx>
                    <wps:bodyPr wrap="none" lIns="0" tIns="0" rIns="0" bIns="0">
                      <a:spAutoFit/>
                    </wps:bodyPr>
                  </wps:wsp>
                </a:graphicData>
              </a:graphic>
            </wp:anchor>
          </w:drawing>
        </mc:Choice>
        <mc:Fallback>
          <w:pict>
            <v:shape id="_x0000_s1039" type="#_x0000_t202" style="position:absolute;margin-left:56.800000000000004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2023-3644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2"/>
      <w:szCs w:val="32"/>
      <w:u w:val="none"/>
    </w:rPr>
  </w:style>
  <w:style w:type="paragraph" w:customStyle="1" w:styleId="Style2">
    <w:name w:val="Основной текст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2"/>
    <w:basedOn w:val="Normal"/>
    <w:link w:val="CharStyle17"/>
    <w:pPr>
      <w:widowControl w:val="0"/>
      <w:shd w:val="clear" w:color="auto" w:fill="auto"/>
      <w:spacing w:after="280"/>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9">
    <w:name w:val="Заголовок №1"/>
    <w:basedOn w:val="Normal"/>
    <w:link w:val="CharStyle20"/>
    <w:pPr>
      <w:widowControl w:val="0"/>
      <w:shd w:val="clear" w:color="auto" w:fill="auto"/>
      <w:spacing w:after="50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