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460A1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460A1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1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Томской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160"/>
        <w:jc w:val="left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Адрес места нахождения: г.Томск, пр-кт. Ленина, 111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Почтовый адрес: 634069, г.Томск, пр-кт. Ленина, 111</w:t>
        <w:br/>
        <w:t>тел. (3822) 51-50-61, факс (3822) 51-29-80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е-тай: 1о70@(а8.§оу.п1</w:t>
      </w:r>
    </w:p>
    <w:p>
      <w:pPr>
        <w:pStyle w:val="Style11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8.11.2023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ИК/6853/2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color w:val="4460A1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делу №070/06/106-969/2023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Федеральное государственное бюджетное образовательное учреждение высшего образования "Сибирский государственный медицинский университет" Министерства здравоохранения Российской Федерации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634050, г. Томск, Московский тракт, 2 ир^.р^аVО@88ти.^и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"РТС-тендер"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наб. Тараса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 23А, 25 этаж, помещение 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ко@г18-1епдег.ги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"Бизнес-Плюс"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654029, Кемеровская область, 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Новокузнецк, ул. Вокзальная, д. 15, кв. 96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even" r:id="rId7"/>
          <w:footerReference w:type="even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63" w:right="796" w:bottom="1313" w:left="1140" w:header="0" w:footer="3" w:gutter="0"/>
          <w:pgNumType w:start="1"/>
          <w:cols w:num="2" w:space="720" w:equalWidth="0">
            <w:col w:w="4195" w:space="1070"/>
            <w:col w:w="469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Ър-42@таП.ги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6" w:after="1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9" w:right="0" w:bottom="107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№070/06/106-969/2023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 нарушении</w:t>
        <w:br/>
        <w:t>законодательства Российской Федерации</w:t>
        <w:br/>
        <w:t>о контрактной системе в сфере закупок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626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31.10.2023</w:t>
        <w:tab/>
        <w:t>г. Томск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- Комиссия Томского УФАС России, Комиссия)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25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Саубановой И.М.,</w:t>
        <w:tab/>
        <w:t>- ВрИО заместителя руководителя;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25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Кобзевой М.А.,</w:t>
        <w:tab/>
        <w:t>- ведущего специалиста-эксперта отдела контроля органов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власти и торгов;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Лукьяненка К.К. - специалиста-эксперта отдела контроля органов власти и</w:t>
      </w:r>
    </w:p>
    <w:p>
      <w:pPr>
        <w:widowControl w:val="0"/>
        <w:spacing w:line="1" w:lineRule="exact"/>
      </w:pPr>
      <w:r>
        <w:drawing>
          <wp:anchor distT="1651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165100</wp:posOffset>
            </wp:positionV>
            <wp:extent cx="1517650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26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торгов,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(вх. № 8951-ЭП/23 от 25.10.2023) ООО «Бизнес-Плюс» (далее - Заявитель) на действия ФГБОУВО «СИБИРСКИЙ ГОСУДАРСТВЕННЫЙ МЕДИЦИНСКИЙ УНИВЕРСИТЕТ» МИНИСТЕРСТВА ЗДРАВООХРАНЕНИЯ РОССИЙСКОЙ ФЕДЕРАЦИИ (далее - Заказчик) при осуществлении закупки в форме электронного аукциона «Услуги по уборке помещений №5» (извещение № 0365100014823000676) (далее - аукцион),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посредством ВКС представителей Заказчика Кручевской Ю.С. (доверенность № 560 от 08.12.2023), от Заявителя - Шеповалова М.В. (лицо, имеющее право представлять интересы без доверенности), Алексеева И.С. (доверенность № 10 от 03.06.2023), представитель третьего лица ИП Усачевой Е.Ю. Фурман Б.Г. (доверенность № б/н от 30.10.2023)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Томское УФАС России обратился Заявитель с жалобой, поданной в срок и соответствующей статье 105 Закона 44-ФЗ на действия Заказчика при осуществлении закупки в форме электронного аукциона « Услуги по уборке помещений №5» (извещение № 0365100014823000676), нарушающие, по мнению Заявителя, законодательство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извещение о проведении аукциона противоречит требованиям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жалобе указывает следующее: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Документация о закупке содержит не соответствующие законодательству требования. А именно, при описании закупаемой услуги Заказчиком установлены характеристики не в соответствии с позицией КТРУ, соответствующей закупаемому товару;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Документация о закупке содержит неточности и противоречия по объему оказываемых услуг. В частности, документация о закупке не содержит исчерпывающей количественной оценки, позволяющей определить полный объем оказываемой услуги, имеются противоречия;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Документация и проект контракта содержит нарушение требования законодательства об установлении этапов исполнения контракта;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Аукционная документация содержит условие предоставления инструмента/инвентаря во временное пользование Заказчика, что нарушает требования части 3 статьи 33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пояснил, что требования установлены в соответствии с законодательством Российской Федерации.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Заявителя просит признать жалобу 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9" w:right="548" w:bottom="1077" w:left="109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Заявителя просит признать жалобу 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проверки, Комиссия Томского УФАС России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закупки размещено на Официальном сайте единой информационной системы в сфере закупок в информационно</w:t>
        <w:softHyphen/>
        <w:t>телекоммуникационной сети Интернет (далее - Официальный сайт, ЕИС) 12.10.2023.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15 071 887,63 руб.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 закупки - «Услуги по уборке помещений №5».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закупке подано 5 заявок.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1 - 2 части 1 статьи 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16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16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"или эквивалент";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6" w:val="left"/>
        </w:tabs>
        <w:bidi w:val="0"/>
        <w:spacing w:before="0" w:after="0" w:line="240" w:lineRule="auto"/>
        <w:ind w:left="16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1" w:val="left"/>
        </w:tabs>
        <w:bidi w:val="0"/>
        <w:spacing w:before="0" w:after="0" w:line="240" w:lineRule="auto"/>
        <w:ind w:left="16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16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68" w:val="left"/>
        </w:tabs>
        <w:bidi w:val="0"/>
        <w:spacing w:before="0" w:after="0" w:line="240" w:lineRule="auto"/>
        <w:ind w:left="0" w:right="0" w:firstLine="10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666" w:right="541" w:bottom="81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2023-8757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пункта 14 части 3 статьи 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№145 (далее - постановление Правительства РФ № 145)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- Правила формирования КТРУ) и Правила использования каталога товаров, работ, услуг для обеспечения государственных и муниципальных нужд (далее - Правила использования КТРУ).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подпункта "б" пункта 2 Правил использования КТРУ каталог используется заказчиками в целях описания объектов закупки, которое включается в план-график закупок, извещение об осуществлении закупки, приглашение и документацию о закупке.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пункта 4 Правил использования КТРУ Заказчики обязаны применять информацию, включенную в позицию каталога в соответствии с подпунктами "б" - "и" пункта 10 Правил формирования КТРУ.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подпункта "г" пункта 10 Правил формирования КТРУ в позицию каталога включается информация, содержащая описание товара, работы, услуги, если такое описание сформировано в соответствии с пунктом 13 Правил формирования КТРУ.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666" w:right="532" w:bottom="1575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установлено, что Заказчиком в извещении о проведении Аукциона для оказываемой услуги установлен код позиции КТРУ 81.21.10.000-00000006.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Техническому заданию Приложения № 1 к Контракту, в рамках исполнения контракта предусмотрено: Наименование объекта закупки: Услуги по уборке помещений в количестве 6 028 755,05 кв.м.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Техническим заданием пунктом 2.19 предусмотрено, что мытье окон осуществляется два раза в год в мае 4008,00 кв.м. в сентябре 4008,00 кв.м. (окна пластиковые и деревянные).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на заседании Комиссии представитель Заказчика представил пояснения, согласно которым: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Понятие «Услуги по уборке» является комплексным и мытье окон также является услугой по уборке.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Заказчик отмечает, что так как такой вид услуги по уборке как мытье окон требуется лишь 2 раза в год выделять, исходя из собственных нужд и опыта потребления соответствующих услуг, применять позицию КТРУ отличную от 81.21.10.000-00000006 нецелесообразно, а указание заказчиком в аукционной документации особых характеристик товара, услуг, которые отвечают его потребностям и необходимы Заказчику с учетом специфики использования такого товара, услуг, не может рассматриваться как ограничение круга потенциальных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установлено, что код позиции КТРУ 81.21.10.000-00000006 предусматривает ОКПД2: «81.22.1: Услуги по промышленной уборке», «81.29.1: Услуги по чистке и уборке прочие», «81.22.11.000: Услуги по мытью окон», «81.21.10.000: Услуги по общей уборке зданий». Соответственно, выбирая КТРУ 81.21.10.000-00000006, заказчик правомерно включил услуги по мытью окон в состав необходимых услуг.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КТРУ 81.21.10.000-00000006 предусматривает соблюдение требований ГОСТ Р 51870-2014 «Услуги профессиональной уборки - клининговые услуги. Общие технические условия».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описанием объекта закупки, услуги оказываются в соответствии с требованиями ГОСТ Р 51870-2014 «Услуги профессиональной уборки - клининговые услуги. Общие технические условия» и другими нормативными документами, предусмотренными Законодательством РФ.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ГОСТ Р 51870-2014 "Услуги профессиональной уборки - клининговые услуги. Общие технические условия" относит услуги по очистке стеклянных поверхностей и фасадные работы к услугам профессиональной уборки.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имеющихся документов и сведений, а также с учетом пояснений представителей Заказчика, Заявителя Комиссия Управления приходит к выводу, что довод жалобы Заявителя в данной части является необоснованным.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56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666" w:right="541" w:bottom="788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части второго довода, согласно которому документация о закупке содержит неточности и противоречия по объему оказываемых услуг, а именно отсутствует исчерпывающая количественная оценка, позволяющая определить полный объем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2023-8757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оказываемой услуги, имеются противоречия Комиссией Управления установлено следующее: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3 части 1 статьи 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67" w:val="left"/>
        </w:tabs>
        <w:bidi w:val="0"/>
        <w:spacing w:before="0" w:after="0" w:line="240" w:lineRule="auto"/>
        <w:ind w:left="44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может включать в себя спецификации, планы, чертежи, эскизы, фотографии, результаты работы, тестирования, требования, в том числе в отношении проведения испытаний, методов испытаний, упаковки в соответствии с требованиями Гражданского кодекса Российской Федерации, маркировки, этикеток, подтверждения соответствия, процессов и методов производства в соответствии с требованиями технических регламентов, документов, разрабатываемых и применяемых в национальной системе стандартизации, технических условий, а также в отношении условных обозначений и терминологии.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Комиссией Управлений установлено, что описание объекта закупки может включать в себя план, экспликацию помещений, подлежащих уборке, при этом отсутствие указанных документов не свидетельствует о том, что количественная оценка, позволяющая определить объем оказываемой услуги отсутствует.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описании объекта закупки установлено следующее:</w:t>
      </w:r>
    </w:p>
    <w:tbl>
      <w:tblPr>
        <w:tblOverlap w:val="never"/>
        <w:jc w:val="center"/>
        <w:tblLayout w:type="fixed"/>
      </w:tblPr>
      <w:tblGrid>
        <w:gridCol w:w="619"/>
        <w:gridCol w:w="1325"/>
        <w:gridCol w:w="1138"/>
        <w:gridCol w:w="2035"/>
        <w:gridCol w:w="2448"/>
        <w:gridCol w:w="1517"/>
        <w:gridCol w:w="1426"/>
      </w:tblGrid>
      <w:tr>
        <w:trPr>
          <w:trHeight w:val="141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№ 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КТРУ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Наимен ование объекта закупки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Наименование показателя Значение показателя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Ед. изм.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Кол-во</w:t>
            </w:r>
          </w:p>
        </w:tc>
      </w:tr>
      <w:tr>
        <w:trPr>
          <w:trHeight w:val="110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81.21.10.0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00</w:t>
              <w:softHyphen/>
              <w:t>00000006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Услуги по уборке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Наличие профессионально го ухода за поверхностями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Нет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Квадратный метр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6 028 755,0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</w:t>
            </w:r>
          </w:p>
        </w:tc>
      </w:tr>
      <w:tr>
        <w:trPr>
          <w:trHeight w:val="97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Способ уборки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Ручная, Механизированна я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33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Тип объекта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Помещение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270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Тип уборки помещения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Ежедневная поддерживающая, Ежедневная основная, Генеральная, Послестроительна я</w:t>
            </w: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09"/>
        <w:gridCol w:w="1536"/>
        <w:gridCol w:w="1354"/>
        <w:gridCol w:w="1013"/>
        <w:gridCol w:w="758"/>
        <w:gridCol w:w="1296"/>
        <w:gridCol w:w="1248"/>
        <w:gridCol w:w="2664"/>
      </w:tblGrid>
      <w:tr>
        <w:trPr>
          <w:trHeight w:val="29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№ 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Название корпуса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Адрес в г. Томск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Площа дь уборки пола (м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vertAlign w:val="superscript"/>
                <w:lang w:val="ru-RU" w:eastAsia="ru-RU" w:bidi="ru-RU"/>
              </w:rPr>
              <w:t>2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) в вечерне е время, в день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 xml:space="preserve">Обща я площ адь входн ой зоны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vertAlign w:val="superscript"/>
                <w:lang w:val="ru-RU" w:eastAsia="ru-RU" w:bidi="ru-RU"/>
              </w:rPr>
              <w:t>(м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2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Площадь пола входной зоны (м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vertAlign w:val="superscript"/>
                <w:lang w:val="ru-RU" w:eastAsia="ru-RU" w:bidi="ru-RU"/>
              </w:rPr>
              <w:t>2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) влажная уборка, в день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Общая убираемая площадь в (м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vertAlign w:val="superscript"/>
                <w:lang w:val="ru-RU" w:eastAsia="ru-RU" w:bidi="ru-RU"/>
              </w:rPr>
              <w:t>2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), в день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Общая убираемая площадь в год. (м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vertAlign w:val="superscript"/>
                <w:lang w:val="ru-RU" w:eastAsia="ru-RU" w:bidi="ru-RU"/>
              </w:rPr>
              <w:t>2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) (305 рабочих дней)</w:t>
            </w:r>
          </w:p>
        </w:tc>
      </w:tr>
      <w:tr>
        <w:trPr>
          <w:trHeight w:val="11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ЦНИЛ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Московский тр.2, стр.18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1994,70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148,90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 (три) раз в день 446,70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2 441,40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744 627,00</w:t>
            </w: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Хозяйственн ый корпус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Московский тр.2, стр.16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1440,00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322,90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 (три) раз в день 968,70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2 408,7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734 653,50</w:t>
            </w:r>
          </w:p>
        </w:tc>
      </w:tr>
      <w:tr>
        <w:trPr>
          <w:trHeight w:val="97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Новоанатоми ческий корпус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Московский тр.2, стр. 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5 148,70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355,60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 (три) раз в день 1066,80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6 215,50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1 895 727,50</w:t>
            </w:r>
          </w:p>
        </w:tc>
      </w:tr>
      <w:tr>
        <w:trPr>
          <w:trHeight w:val="112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Староанатоми ческий корпус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пр. Ленина 36/1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1 383,80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160,20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 (три) раз в день 480,60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1 864,40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568 642,00</w:t>
            </w:r>
          </w:p>
        </w:tc>
      </w:tr>
      <w:tr>
        <w:trPr>
          <w:trHeight w:val="8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leader="hyphen" w:pos="1464" w:val="left"/>
              </w:tabs>
              <w:bidi w:val="0"/>
              <w:spacing w:before="0" w:after="0" w:line="269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Корпус кафедры гигиены</w:t>
              <w:tab/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Московский тр.2, стр.9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664,50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69,40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 (три) раз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 день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leader="underscore" w:pos="1219" w:val="left"/>
              </w:tabs>
              <w:bidi w:val="0"/>
              <w:spacing w:before="0" w:after="4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u w:val="single"/>
                <w:shd w:val="clear" w:color="auto" w:fill="auto"/>
                <w:lang w:val="ru-RU" w:eastAsia="ru-RU" w:bidi="ru-RU"/>
              </w:rPr>
              <w:t>208 20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ab/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872,70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266 173,50</w:t>
            </w:r>
          </w:p>
        </w:tc>
      </w:tr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Корпус деканатов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Московский тр.2, стр.19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458,80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113,70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 (три) раз в день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799,90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243 969,50</w:t>
            </w:r>
          </w:p>
        </w:tc>
      </w:tr>
      <w:tr>
        <w:trPr>
          <w:trHeight w:val="112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Вспомогатель ный объект №1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Московский тр.2, стр.20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111,50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64,20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 (три) раз в день 192,6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304,10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92 750,50</w:t>
            </w:r>
          </w:p>
        </w:tc>
      </w:tr>
      <w:tr>
        <w:trPr>
          <w:trHeight w:val="112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Корпус Латинского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языка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пр. Ленина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36, стр. 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334,20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30,20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 (три) раз в день 90,60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424,80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129 564,00</w:t>
            </w:r>
          </w:p>
        </w:tc>
      </w:tr>
      <w:tr>
        <w:trPr>
          <w:trHeight w:val="17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Главный корпус Медико- фармацевтиче ского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пр. Кирова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896,80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210,20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 (три) раз в день 630,60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1527,40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465 857,00</w:t>
            </w:r>
          </w:p>
        </w:tc>
      </w:tr>
      <w:tr>
        <w:trPr>
          <w:trHeight w:val="92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Стоматологич еский корпус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ул.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Крылова,27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470,60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123,30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 (шесть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) раз в день 739,80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1210,40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369 172,00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09"/>
        <w:gridCol w:w="1531"/>
        <w:gridCol w:w="1358"/>
        <w:gridCol w:w="1008"/>
        <w:gridCol w:w="758"/>
        <w:gridCol w:w="1296"/>
        <w:gridCol w:w="1248"/>
        <w:gridCol w:w="2664"/>
      </w:tblGrid>
      <w:tr>
        <w:trPr>
          <w:trHeight w:val="9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Симуляционн ый центр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ул.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Белинского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584,60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102,40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 (три) раз в день 307,20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891,80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271 999,00</w:t>
            </w:r>
          </w:p>
        </w:tc>
      </w:tr>
      <w:tr>
        <w:trPr>
          <w:trHeight w:val="9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Научно</w:t>
              <w:softHyphen/>
              <w:t>медицинская библиотека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пр. Ленина, 107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731,9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24,47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 (три) раз в день 73,41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805,31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245 619,55</w:t>
            </w:r>
          </w:p>
        </w:tc>
      </w:tr>
      <w:tr>
        <w:trPr>
          <w:trHeight w:val="485" w:hRule="exact"/>
        </w:trPr>
        <w:tc>
          <w:tcPr>
            <w:gridSpan w:val="4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Общий объем</w:t>
            </w:r>
          </w:p>
        </w:tc>
        <w:tc>
          <w:tcPr>
            <w:gridSpan w:val="3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19 766,41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6 028 755,05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позиции КТРУ 81.21.10.000-00000006 Единицы измерения (количество товара, объем работы, услуги по ОКЕИ) - Квадратный метр.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представитель Заказчика пояснил, что экспликация помещений предоставляется Победителю закупки при исполнении Контракта, а также могла быть направлена в случае наличия запроса на разъяснения по данному вопросу. При этом таких запросов не поступало.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изучив описание объекта закупки, установила, что заказчиком указаны конкретные адреса объектов и площади уборки в квадратных метрах, что соответствует позиции КТРУ и требованиям статьи 33 Закон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довод Заявителя в данной части является несостоятельным.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части довода, согласно которому документация и проект контракта содержит нарушение требования законодательства об установлении этапов исполнения контракта, Комиссией Управления установлено следующее: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 8 статьи 42 Закона о контрактной системе извещение об осуществлении закупки должно содержать в частности следующую информацию: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извещении о проведении Аукциона установлено, что срок исполнения контракта: с 01.01.2024 по 31.12.2024 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определена этапность: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1.этап 01.01.2024-31.01.2024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 этап 01.02.2024 - 29.02.2024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 этап 01.03.2024 - 31.03.2024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 этап 01.04.2024 - 30.04.2024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 этап 01.05.2024 - 31.05.2024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 этап 01.06.2024 - 30.06.2024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 этап 01.07.2024 - 31.07.2024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 этап 0108.2024 - 31.08.2024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 этап 01.09.2024 - 30.09.2024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 этап 01.10.2024 - 31.10.2024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 этап 01.11.2024 - 30.11.2024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 этап 01.12.2024 - 31.12.2024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2.4 проекта Контракта оплата за оказанные услуги осуществляется Заказчиком ежемесячно в течение 7 (семи) рабочих с даты подписания Заказчиком документа о приемке.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Комиссия Управления отмечает, что предметом рассматриваемой закупки является услуга. Согласно статье 783 ГК РФ общие положения о подряде (статьи 702 - 729) и положения о бытовом подряде (статьи 730 - 739) применяются к договору возмездного оказания услуг, если это не противоречит статьям 779 - 782 настоящего Кодекса, а также особенностям предмета договора возмездного оказания услуг.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Приложению № 3 к проекту Контракта Исполнитель обязан предоставлять все расходные материалы ежемесячно в срок до 5 (пятого) числа каждого месяца, за исключением января, за январь месяц 2024 Исполнитель обязан предоставить все расходные материалы сроком до 25.12.2023.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статьи 704 ГК РФ если иное не предусмотрено договором подряда, работа выполняется иждивением подрядчика - из его материалов, его силами и средствами.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расходные материалы являются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используемыми в рамках оказания услуги товаром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довод жалобы в части нарушения требований законодательства об установлении этапов исполнения контракта, а именно, в не включении стоимости за используемые расходные материалы в стоимость этапа контракта не состоятелен.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части довода касаемо наличия в аукционной документации условия предоставления инструмента/инвентаря во временное пользование Заказчика, что нарушает требования части 3 статьи 33 Закона о контрактной системе, Комиссией Томского УФАС России установлено следующее: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2.2.3 Контракта Исполнитель обязан оказывать услуги с использованием специальной техники для уборки (поломоечная машина, пылесос).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пункте 2.11 проекта Контракта указано, что мытье пола должны проводить с использованием технологий (на усмотрение Исполнителя), обеспечивающих минимальное увлажнение пола. Необходимо использование различных сменных мопов (насадок на швабры) для разных видов уборки (мытье, влажная протирка, сухая протирка) и для различного вида пола (паркет, камень, плитка, дерево). При оказании услуг по уборке пола должны использоваться предупреждающие пластиковые знаки «Скользкий пол».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контракте указано, что во временное пользование Заказчику предоставляются мопы в количестве 36 шт. не менее 50 см. и насадки на мопы разных цветов (для уборки, входных зон, туалетов, кабинетов) в количестве 150 шт. не менее 50 см., диспенсеры и коврики.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2.22. описания объекта закупки установлено, что исполнитель, на период оказания услуг, обеспечивает наполнение диспенсеров и дозаторов расходными материалами, исходя из потребности, указанной в Приложении 3. Исполнитель обязан предоставлять все расходные материалы ежемесячно в срок до 5 (пятого) числа каждого месяца, за исключением января, за январь 2024 г. Исполнитель обязан предоставить все расходные материалы сроком до 25.12.2023 г. на склады представителя Заказчика, расположенные по адресам: г. Томск,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Московский тракт 2 стр.10, г. Томск, Московский тракт, 2 стр. 8. Расходные материалы и моющее средства входят в стоимость контракта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установлено, что расходные материалы в силу описания объекта закупки не требуется передавать на баланс Заказчика. Указанные материалы необходимы для обеспечения контроля за оказанием услуги и использованием их в ходе исполнения контракта.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Комиссия Управления отмечает, что в рамках проводимого аукциона осуществляется закупка услуги по уборке социально важного объекта, помещений ФГБОУ ВО СибГМУ Минздрава России (в части помещений расположены клиники, в которых осуществляется лечение пациентов).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формирование объекта закупки обусловлено потребностью Заказчика и не нарушает требования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утвержденном постановлением Президиума Верховного Суда Российской Федерации от 28.06.2017, 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закупке подано 5 заявок, в том числе заявка Подателя жалобы, цена контракта, предложенная победителем составила 38,2 % от НМЦК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изложенного, на основе всестороннего исследования, оценки конкретных фактических обстоятельств, установленных на заседании и доказательств по делу в их совокупности и взаимосвязи Комиссия приходит к выводу о необоснованности жалобы.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Томского УФАС, руководствуясь статьей 99, 105, 106 Закона о контрактной системе,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«Бизнес-Плюс» на действия ФГОБУ ВО «СибГМУ» при осуществлении закупки в форме электронного аукциона «Услуги по уборке помещений №5» (извещение № 0365100014823000676) необоснованной.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нарушений Закона о контрактной системе не выявлено.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23" w:val="left"/>
        </w:tabs>
        <w:bidi w:val="0"/>
        <w:spacing w:before="0" w:after="5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не выдавать.</w:t>
      </w:r>
      <w:r>
        <w:br w:type="page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в установленном законом порядке.</w:t>
      </w:r>
      <w:bookmarkEnd w:id="4"/>
    </w:p>
    <w:p>
      <w:pPr>
        <w:widowControl w:val="0"/>
        <w:spacing w:line="1" w:lineRule="exact"/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1666" w:right="455" w:bottom="1274" w:left="91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20800" distB="255905" distL="0" distR="0" simplePos="0" relativeHeight="125829379" behindDoc="0" locked="0" layoutInCell="1" allowOverlap="1">
                <wp:simplePos x="0" y="0"/>
                <wp:positionH relativeFrom="page">
                  <wp:posOffset>708025</wp:posOffset>
                </wp:positionH>
                <wp:positionV relativeFrom="paragraph">
                  <wp:posOffset>1320800</wp:posOffset>
                </wp:positionV>
                <wp:extent cx="1828800" cy="24701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5.75pt;margin-top:104.pt;width:144.pt;height:19.449999999999999pt;z-index:-125829374;mso-wrap-distance-left:0;mso-wrap-distance-top:104.pt;mso-wrap-distance-right:0;mso-wrap-distance-bottom:20.150000000000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54785" distB="6350" distL="0" distR="1804670" simplePos="0" relativeHeight="125829381" behindDoc="0" locked="0" layoutInCell="1" allowOverlap="1">
            <wp:simplePos x="0" y="0"/>
            <wp:positionH relativeFrom="page">
              <wp:posOffset>2731770</wp:posOffset>
            </wp:positionH>
            <wp:positionV relativeFrom="paragraph">
              <wp:posOffset>1454785</wp:posOffset>
            </wp:positionV>
            <wp:extent cx="311150" cy="36576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3124835</wp:posOffset>
                </wp:positionH>
                <wp:positionV relativeFrom="paragraph">
                  <wp:posOffset>1527810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6.05000000000001pt;margin-top:120.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70990" distB="0" distL="0" distR="0" simplePos="0" relativeHeight="125829382" behindDoc="0" locked="0" layoutInCell="1" allowOverlap="1">
                <wp:simplePos x="0" y="0"/>
                <wp:positionH relativeFrom="page">
                  <wp:posOffset>5916930</wp:posOffset>
                </wp:positionH>
                <wp:positionV relativeFrom="paragraph">
                  <wp:posOffset>1570990</wp:posOffset>
                </wp:positionV>
                <wp:extent cx="1246505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650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И.М. Саубанова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65.90000000000003pt;margin-top:123.7pt;width:98.150000000000006pt;height:19.900000000000002pt;z-index:-125829371;mso-wrap-distance-left:0;mso-wrap-distance-top:123.7pt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И.М. Саубанова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926465" distL="367030" distR="114300" simplePos="0" relativeHeight="125829384" behindDoc="0" locked="0" layoutInCell="1" allowOverlap="1">
                <wp:simplePos x="0" y="0"/>
                <wp:positionH relativeFrom="page">
                  <wp:posOffset>6154420</wp:posOffset>
                </wp:positionH>
                <wp:positionV relativeFrom="paragraph">
                  <wp:posOffset>847090</wp:posOffset>
                </wp:positionV>
                <wp:extent cx="1009015" cy="250190"/>
                <wp:wrapSquare wrapText="left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901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М.А.Кобзева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84.60000000000002pt;margin-top:66.700000000000003pt;width:79.450000000000003pt;height:19.699999999999999pt;z-index:-125829369;mso-wrap-distance-left:28.900000000000002pt;mso-wrap-distance-right:9.pt;mso-wrap-distance-bottom:72.950000000000003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М.А.Кобзева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926465" distB="0" distL="114300" distR="114300" simplePos="0" relativeHeight="125829386" behindDoc="0" locked="0" layoutInCell="1" allowOverlap="1">
                <wp:simplePos x="0" y="0"/>
                <wp:positionH relativeFrom="page">
                  <wp:posOffset>5901690</wp:posOffset>
                </wp:positionH>
                <wp:positionV relativeFrom="paragraph">
                  <wp:posOffset>1773555</wp:posOffset>
                </wp:positionV>
                <wp:extent cx="1261745" cy="250190"/>
                <wp:wrapSquare wrapText="left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617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К.К.Лукьяненок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64.69999999999999pt;margin-top:139.65000000000001pt;width:99.350000000000009pt;height:19.699999999999999pt;z-index:-125829367;mso-wrap-distance-left:9.pt;mso-wrap-distance-top:72.950000000000003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К.К.Лукьяненок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2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84848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Саубанова Ильмира Маратовна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2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00А70566В1</w:t>
      </w: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9В63А1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1 </w:t>
      </w: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Е687845С228АСВ6ВО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322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08.08.2023 </w:t>
      </w:r>
      <w:r>
        <w:rPr>
          <w:rFonts w:ascii="Arial" w:eastAsia="Arial" w:hAnsi="Arial" w:cs="Arial"/>
          <w:color w:val="84848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31.10.2024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5" w:line="240" w:lineRule="auto"/>
        <w:ind w:left="3740" w:right="0" w:firstLine="0"/>
        <w:jc w:val="left"/>
        <w:rPr>
          <w:sz w:val="11"/>
          <w:szCs w:val="11"/>
        </w:rPr>
      </w:pPr>
      <w:r>
        <w:rPr>
          <w:rFonts w:ascii="Georgia" w:eastAsia="Georgia" w:hAnsi="Georgia" w:cs="Georgia"/>
          <w:color w:val="20202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80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Кобзева Мария Александровна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7С9523Е362Е0О7ААЕЕ07ЕЗО0Е5ЕЕМ8В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3100" w:right="0" w:firstLine="0"/>
        <w:jc w:val="left"/>
        <w:rPr>
          <w:sz w:val="9"/>
          <w:szCs w:val="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>Те летите пен г. 18 07 702 3 по '9'0 2074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3740" w:right="0" w:firstLine="0"/>
        <w:jc w:val="left"/>
        <w:rPr>
          <w:sz w:val="11"/>
          <w:szCs w:val="11"/>
        </w:rPr>
      </w:pPr>
      <w:r>
        <w:rPr>
          <w:rFonts w:ascii="Georgia" w:eastAsia="Georgia" w:hAnsi="Georgia" w:cs="Georgia"/>
          <w:color w:val="20202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80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Лукьяненок Климентий Константинович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00АА683Е22890ЕАО641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ВВВВ722499Э8301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20202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03.02.2023 </w:t>
      </w:r>
      <w:r>
        <w:rPr>
          <w:rFonts w:ascii="Arial" w:eastAsia="Arial" w:hAnsi="Arial" w:cs="Arial"/>
          <w:color w:val="84848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20202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28.04.2024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55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695960</wp:posOffset>
              </wp:positionH>
              <wp:positionV relativeFrom="page">
                <wp:posOffset>10019030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2023-8757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4.800000000000004pt;margin-top:788.89999999999998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2023-8757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2023-8757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6.20000000000005pt;width:51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2023-8757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695960</wp:posOffset>
              </wp:positionH>
              <wp:positionV relativeFrom="page">
                <wp:posOffset>10019030</wp:posOffset>
              </wp:positionV>
              <wp:extent cx="6489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2023-8757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4.800000000000004pt;margin-top:788.89999999999998pt;width:51.100000000000001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2023-8757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695960</wp:posOffset>
              </wp:positionH>
              <wp:positionV relativeFrom="page">
                <wp:posOffset>10019030</wp:posOffset>
              </wp:positionV>
              <wp:extent cx="64897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2023-8757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4.800000000000004pt;margin-top:788.89999999999998pt;width:51.100000000000001pt;height:7.9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2023-8757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759460</wp:posOffset>
              </wp:positionV>
              <wp:extent cx="54610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44999999999999pt;margin-top:59.800000000000004pt;width:4.2999999999999998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3877945</wp:posOffset>
              </wp:positionH>
              <wp:positionV relativeFrom="page">
                <wp:posOffset>482600</wp:posOffset>
              </wp:positionV>
              <wp:extent cx="10985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8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05.35000000000002pt;margin-top:38.pt;width:8.6500000000000004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3877945</wp:posOffset>
              </wp:positionH>
              <wp:positionV relativeFrom="page">
                <wp:posOffset>482600</wp:posOffset>
              </wp:positionV>
              <wp:extent cx="10985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8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5.35000000000002pt;margin-top:38.pt;width:8.6500000000000004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3877945</wp:posOffset>
              </wp:positionH>
              <wp:positionV relativeFrom="page">
                <wp:posOffset>482600</wp:posOffset>
              </wp:positionV>
              <wp:extent cx="10985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8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5.35000000000002pt;margin-top:38.pt;width:8.6500000000000004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Заголовок №2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1"/>
      <w:szCs w:val="11"/>
      <w:u w:val="none"/>
    </w:rPr>
  </w:style>
  <w:style w:type="character" w:customStyle="1" w:styleId="CharStyle25">
    <w:name w:val="Подпись к таблице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Заголовок №2"/>
    <w:basedOn w:val="Normal"/>
    <w:link w:val="CharStyle19"/>
    <w:pPr>
      <w:widowControl w:val="0"/>
      <w:shd w:val="clear" w:color="auto" w:fill="auto"/>
      <w:spacing w:after="90"/>
      <w:ind w:firstLine="36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1"/>
      <w:szCs w:val="11"/>
      <w:u w:val="none"/>
    </w:rPr>
  </w:style>
  <w:style w:type="paragraph" w:customStyle="1" w:styleId="Style24">
    <w:name w:val="Подпись к таблице"/>
    <w:basedOn w:val="Normal"/>
    <w:link w:val="CharStyle2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image" Target="media/image1.jpeg"/><Relationship Id="rId12" Type="http://schemas.openxmlformats.org/officeDocument/2006/relationships/image" Target="media/image1.jpeg" TargetMode="Externa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/Relationships>
</file>