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80" w:line="240" w:lineRule="auto"/>
        <w:ind w:left="0" w:right="0" w:firstLine="0"/>
        <w:jc w:val="center"/>
        <w:rPr>
          <w:sz w:val="134"/>
          <w:szCs w:val="134"/>
        </w:rPr>
      </w:pPr>
      <w:r>
        <w:rPr>
          <w:color w:val="4460A1"/>
          <w:spacing w:val="0"/>
          <w:w w:val="100"/>
          <w:position w:val="0"/>
          <w:sz w:val="134"/>
          <w:szCs w:val="134"/>
          <w:u w:val="single"/>
          <w:shd w:val="clear" w:color="auto" w:fill="auto"/>
          <w:lang w:val="ru-RU" w:eastAsia="ru-RU" w:bidi="ru-RU"/>
        </w:rPr>
        <w:t>е</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1"/>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b/>
          <w:bCs/>
          <w:color w:val="4460A1"/>
          <w:spacing w:val="0"/>
          <w:w w:val="100"/>
          <w:position w:val="0"/>
          <w:sz w:val="19"/>
          <w:szCs w:val="19"/>
          <w:shd w:val="clear" w:color="auto" w:fill="auto"/>
          <w:lang w:val="ru-RU" w:eastAsia="ru-RU" w:bidi="ru-RU"/>
        </w:rPr>
        <w:t>УПРАВЛЕНИЕ</w:t>
        <w:br/>
        <w:t>Федеральной антимонопольной службы</w:t>
        <w:br/>
        <w:t>по Томской области</w:t>
      </w:r>
    </w:p>
    <w:p>
      <w:pPr>
        <w:pStyle w:val="Style2"/>
        <w:keepNext w:val="0"/>
        <w:keepLines w:val="0"/>
        <w:widowControl w:val="0"/>
        <w:shd w:val="clear" w:color="auto" w:fill="auto"/>
        <w:bidi w:val="0"/>
        <w:spacing w:before="0" w:after="0" w:line="288" w:lineRule="auto"/>
        <w:ind w:left="0" w:right="0" w:firstLine="160"/>
        <w:jc w:val="left"/>
        <w:rPr>
          <w:sz w:val="16"/>
          <w:szCs w:val="16"/>
        </w:rPr>
      </w:pPr>
      <w:r>
        <w:rPr>
          <w:color w:val="4460A1"/>
          <w:spacing w:val="0"/>
          <w:w w:val="100"/>
          <w:position w:val="0"/>
          <w:sz w:val="16"/>
          <w:szCs w:val="16"/>
          <w:shd w:val="clear" w:color="auto" w:fill="auto"/>
          <w:lang w:val="ru-RU" w:eastAsia="ru-RU" w:bidi="ru-RU"/>
        </w:rPr>
        <w:t>Адрес места нахождения: г.Томск, пр-кт. Ленина, 111</w:t>
      </w:r>
    </w:p>
    <w:p>
      <w:pPr>
        <w:pStyle w:val="Style2"/>
        <w:keepNext w:val="0"/>
        <w:keepLines w:val="0"/>
        <w:widowControl w:val="0"/>
        <w:shd w:val="clear" w:color="auto" w:fill="auto"/>
        <w:bidi w:val="0"/>
        <w:spacing w:before="0" w:after="0" w:line="288" w:lineRule="auto"/>
        <w:ind w:left="0" w:right="0" w:firstLine="0"/>
        <w:jc w:val="center"/>
        <w:rPr>
          <w:sz w:val="16"/>
          <w:szCs w:val="16"/>
        </w:rPr>
      </w:pPr>
      <w:r>
        <w:rPr>
          <w:color w:val="4460A1"/>
          <w:spacing w:val="0"/>
          <w:w w:val="100"/>
          <w:position w:val="0"/>
          <w:sz w:val="16"/>
          <w:szCs w:val="16"/>
          <w:shd w:val="clear" w:color="auto" w:fill="auto"/>
          <w:lang w:val="ru-RU" w:eastAsia="ru-RU" w:bidi="ru-RU"/>
        </w:rPr>
        <w:t>Почтовый адрес: 634069, г.Томск, пр-кт. Ленина, 111</w:t>
        <w:br/>
        <w:t>тел. (3822) 51-50-61, факс (3822) 51-29-80</w:t>
      </w:r>
    </w:p>
    <w:p>
      <w:pPr>
        <w:pStyle w:val="Style2"/>
        <w:keepNext w:val="0"/>
        <w:keepLines w:val="0"/>
        <w:widowControl w:val="0"/>
        <w:shd w:val="clear" w:color="auto" w:fill="auto"/>
        <w:bidi w:val="0"/>
        <w:spacing w:before="0" w:after="0" w:line="288" w:lineRule="auto"/>
        <w:ind w:left="0" w:right="0" w:firstLine="0"/>
        <w:jc w:val="center"/>
        <w:rPr>
          <w:sz w:val="16"/>
          <w:szCs w:val="16"/>
        </w:rPr>
      </w:pPr>
      <w:r>
        <w:rPr>
          <w:color w:val="4460A1"/>
          <w:spacing w:val="0"/>
          <w:w w:val="100"/>
          <w:position w:val="0"/>
          <w:sz w:val="16"/>
          <w:szCs w:val="16"/>
          <w:shd w:val="clear" w:color="auto" w:fill="auto"/>
          <w:lang w:val="ru-RU" w:eastAsia="ru-RU" w:bidi="ru-RU"/>
        </w:rPr>
        <w:t>е-тай: 1о70@(а8.§оу.п1</w:t>
      </w:r>
    </w:p>
    <w:p>
      <w:pPr>
        <w:pStyle w:val="Style11"/>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8.11.2023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ИК/6854/2</w:t>
      </w:r>
      <w:r>
        <w:rPr>
          <w:color w:val="000000"/>
          <w:spacing w:val="0"/>
          <w:w w:val="100"/>
          <w:position w:val="0"/>
          <w:u w:val="none"/>
          <w:shd w:val="clear" w:color="auto" w:fill="auto"/>
          <w:lang w:val="ru-RU" w:eastAsia="ru-RU" w:bidi="ru-RU"/>
        </w:rPr>
        <w:t>3</w:t>
      </w:r>
      <w:bookmarkEnd w:id="0"/>
    </w:p>
    <w:p>
      <w:pPr>
        <w:pStyle w:val="Style2"/>
        <w:keepNext w:val="0"/>
        <w:keepLines w:val="0"/>
        <w:widowControl w:val="0"/>
        <w:shd w:val="clear" w:color="auto" w:fill="auto"/>
        <w:bidi w:val="0"/>
        <w:spacing w:before="0" w:after="620" w:line="264" w:lineRule="auto"/>
        <w:ind w:left="0" w:right="0" w:firstLine="0"/>
        <w:jc w:val="left"/>
        <w:rPr>
          <w:sz w:val="18"/>
          <w:szCs w:val="18"/>
        </w:rPr>
      </w:pPr>
      <w:r>
        <w:rPr>
          <w:color w:val="4460A1"/>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 делу №070/06/106-968/2023</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Федеральное государственное бюджетное образовательное учреждение высшего образования "Сибирский государственный медицинский университет" Министерства здравоохранения Российской Федерации</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634050, г. Томск, Московский тракт, 2 ир^.р^аVО@88ти.^и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121151, г. Москва, наб. Тараса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Шевченко, д. 23А, 25 этаж, помещение 1</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ко@г18-1еп4ег.ги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"Бизнес-Плюс"</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654029, Кемеровская область, г.</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Новокузнецк, ул. Вокзальная, д. 15, кв. 96</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63" w:right="796" w:bottom="1217" w:left="1140" w:header="0" w:footer="3" w:gutter="0"/>
          <w:pgNumType w:start="1"/>
          <w:cols w:num="2" w:space="720" w:equalWidth="0">
            <w:col w:w="4195" w:space="1070"/>
            <w:col w:w="4699"/>
          </w:cols>
          <w:noEndnote/>
          <w:titlePg/>
          <w:rtlGutter w:val="0"/>
          <w:docGrid w:linePitch="360"/>
        </w:sectPr>
      </w:pPr>
      <w:r>
        <w:rPr>
          <w:color w:val="000000"/>
          <w:spacing w:val="0"/>
          <w:w w:val="100"/>
          <w:position w:val="0"/>
          <w:shd w:val="clear" w:color="auto" w:fill="auto"/>
          <w:lang w:val="ru-RU" w:eastAsia="ru-RU" w:bidi="ru-RU"/>
        </w:rPr>
        <w:t>Ър-42@таП.ги</w:t>
      </w:r>
    </w:p>
    <w:p>
      <w:pPr>
        <w:widowControl w:val="0"/>
        <w:spacing w:line="240" w:lineRule="exact"/>
        <w:rPr>
          <w:sz w:val="19"/>
          <w:szCs w:val="19"/>
        </w:rPr>
      </w:pPr>
    </w:p>
    <w:p>
      <w:pPr>
        <w:widowControl w:val="0"/>
        <w:spacing w:before="105" w:after="10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70" w:right="0" w:bottom="710"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РЕШЕНИЕ</w:t>
      </w:r>
    </w:p>
    <w:p>
      <w:pPr>
        <w:pStyle w:val="Style16"/>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по делу №070/06/106-968/2023</w:t>
      </w:r>
    </w:p>
    <w:p>
      <w:pPr>
        <w:pStyle w:val="Style16"/>
        <w:keepNext w:val="0"/>
        <w:keepLines w:val="0"/>
        <w:widowControl w:val="0"/>
        <w:shd w:val="clear" w:color="auto" w:fill="auto"/>
        <w:bidi w:val="0"/>
        <w:spacing w:before="0" w:after="280" w:line="240" w:lineRule="auto"/>
        <w:ind w:left="0" w:right="0" w:firstLine="0"/>
        <w:jc w:val="center"/>
        <w:rPr>
          <w:sz w:val="26"/>
          <w:szCs w:val="26"/>
        </w:rPr>
      </w:pPr>
      <w:r>
        <w:rPr>
          <w:color w:val="000000"/>
          <w:spacing w:val="0"/>
          <w:w w:val="100"/>
          <w:position w:val="0"/>
          <w:sz w:val="26"/>
          <w:szCs w:val="26"/>
          <w:shd w:val="clear" w:color="auto" w:fill="auto"/>
          <w:lang w:val="ru-RU" w:eastAsia="ru-RU" w:bidi="ru-RU"/>
        </w:rPr>
        <w:t>по результатам рассмотрения жалобы о нарушении</w:t>
        <w:br/>
        <w:t>законодательства Российской Федерации</w:t>
        <w:br/>
        <w:t>о контрактной системе в сфере закупок</w:t>
      </w:r>
    </w:p>
    <w:p>
      <w:pPr>
        <w:pStyle w:val="Style16"/>
        <w:keepNext w:val="0"/>
        <w:keepLines w:val="0"/>
        <w:widowControl w:val="0"/>
        <w:shd w:val="clear" w:color="auto" w:fill="auto"/>
        <w:bidi w:val="0"/>
        <w:spacing w:before="0" w:after="280" w:line="240" w:lineRule="auto"/>
        <w:ind w:left="0" w:right="0" w:firstLine="0"/>
        <w:jc w:val="both"/>
        <w:rPr>
          <w:sz w:val="26"/>
          <w:szCs w:val="26"/>
        </w:rPr>
      </w:pPr>
      <w:r>
        <mc:AlternateContent>
          <mc:Choice Requires="wps">
            <w:drawing>
              <wp:anchor distT="0" distB="0" distL="114300" distR="114300" simplePos="0" relativeHeight="125829378" behindDoc="0" locked="0" layoutInCell="1" allowOverlap="1">
                <wp:simplePos x="0" y="0"/>
                <wp:positionH relativeFrom="page">
                  <wp:posOffset>6042660</wp:posOffset>
                </wp:positionH>
                <wp:positionV relativeFrom="paragraph">
                  <wp:posOffset>12700</wp:posOffset>
                </wp:positionV>
                <wp:extent cx="612775" cy="240665"/>
                <wp:wrapSquare wrapText="left"/>
                <wp:docPr id="7" name="Shape 7"/>
                <a:graphic xmlns:a="http://schemas.openxmlformats.org/drawingml/2006/main">
                  <a:graphicData uri="http://schemas.microsoft.com/office/word/2010/wordprocessingShape">
                    <wps:wsp>
                      <wps:cNvSpPr txBox="1"/>
                      <wps:spPr>
                        <a:xfrm>
                          <a:ext cx="612775" cy="24066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г. Томск</w:t>
                            </w:r>
                          </w:p>
                        </w:txbxContent>
                      </wps:txbx>
                      <wps:bodyPr wrap="none" lIns="0" tIns="0" rIns="0" bIns="0">
                        <a:noAutoFit/>
                      </wps:bodyPr>
                    </wps:wsp>
                  </a:graphicData>
                </a:graphic>
              </wp:anchor>
            </w:drawing>
          </mc:Choice>
          <mc:Fallback>
            <w:pict>
              <v:shape id="_x0000_s1033" type="#_x0000_t202" style="position:absolute;margin-left:475.80000000000001pt;margin-top:1.pt;width:48.25pt;height:18.949999999999999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г. Томск</w:t>
                      </w:r>
                    </w:p>
                  </w:txbxContent>
                </v:textbox>
                <w10:wrap type="square" side="left" anchorx="page"/>
              </v:shape>
            </w:pict>
          </mc:Fallback>
        </mc:AlternateContent>
      </w:r>
      <w:r>
        <w:rPr>
          <w:color w:val="000000"/>
          <w:spacing w:val="0"/>
          <w:w w:val="100"/>
          <w:position w:val="0"/>
          <w:sz w:val="26"/>
          <w:szCs w:val="26"/>
          <w:shd w:val="clear" w:color="auto" w:fill="auto"/>
          <w:lang w:val="ru-RU" w:eastAsia="ru-RU" w:bidi="ru-RU"/>
        </w:rPr>
        <w:t>31.10.2023</w:t>
      </w:r>
    </w:p>
    <w:p>
      <w:pPr>
        <w:pStyle w:val="Style16"/>
        <w:keepNext w:val="0"/>
        <w:keepLines w:val="0"/>
        <w:widowControl w:val="0"/>
        <w:shd w:val="clear" w:color="auto" w:fill="auto"/>
        <w:bidi w:val="0"/>
        <w:spacing w:before="0" w:after="40" w:line="240" w:lineRule="auto"/>
        <w:ind w:left="0" w:right="0" w:firstLine="1240"/>
        <w:jc w:val="both"/>
        <w:rPr>
          <w:sz w:val="26"/>
          <w:szCs w:val="26"/>
        </w:rPr>
      </w:pPr>
      <w:r>
        <w:rPr>
          <w:color w:val="000000"/>
          <w:spacing w:val="0"/>
          <w:w w:val="100"/>
          <w:position w:val="0"/>
          <w:sz w:val="26"/>
          <w:szCs w:val="26"/>
          <w:shd w:val="clear" w:color="auto" w:fill="auto"/>
          <w:lang w:val="ru-RU" w:eastAsia="ru-RU" w:bidi="ru-RU"/>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(далее - Комиссия Томского УФАС России, Комиссия) в составе:</w:t>
      </w:r>
    </w:p>
    <w:p>
      <w:pPr>
        <w:pStyle w:val="Style19"/>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председателя комиссии:</w:t>
      </w:r>
    </w:p>
    <w:tbl>
      <w:tblPr>
        <w:tblOverlap w:val="never"/>
        <w:jc w:val="center"/>
        <w:tblLayout w:type="fixed"/>
      </w:tblPr>
      <w:tblGrid>
        <w:gridCol w:w="2333"/>
        <w:gridCol w:w="7810"/>
      </w:tblGrid>
      <w:tr>
        <w:trPr>
          <w:trHeight w:val="624"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Саубановой И.М., членов комиссии:</w:t>
            </w:r>
          </w:p>
        </w:tc>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240"/>
              <w:jc w:val="left"/>
              <w:rPr>
                <w:sz w:val="26"/>
                <w:szCs w:val="26"/>
              </w:rPr>
            </w:pPr>
            <w:r>
              <w:rPr>
                <w:color w:val="000000"/>
                <w:spacing w:val="0"/>
                <w:w w:val="100"/>
                <w:position w:val="0"/>
                <w:sz w:val="26"/>
                <w:szCs w:val="26"/>
                <w:shd w:val="clear" w:color="auto" w:fill="auto"/>
                <w:lang w:val="ru-RU" w:eastAsia="ru-RU" w:bidi="ru-RU"/>
              </w:rPr>
              <w:t>- ВрИО заместителя руководителя;</w:t>
            </w:r>
          </w:p>
        </w:tc>
      </w:tr>
      <w:tr>
        <w:trPr>
          <w:trHeight w:val="64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Кобзевой М.А.,</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240" w:right="0" w:firstLine="60"/>
              <w:jc w:val="left"/>
              <w:rPr>
                <w:sz w:val="26"/>
                <w:szCs w:val="26"/>
              </w:rPr>
            </w:pPr>
            <w:r>
              <w:rPr>
                <w:color w:val="000000"/>
                <w:spacing w:val="0"/>
                <w:w w:val="100"/>
                <w:position w:val="0"/>
                <w:sz w:val="26"/>
                <w:szCs w:val="26"/>
                <w:shd w:val="clear" w:color="auto" w:fill="auto"/>
                <w:lang w:val="ru-RU" w:eastAsia="ru-RU" w:bidi="ru-RU"/>
              </w:rPr>
              <w:t>- ведущего специалиста-эксперта отдела контроля органов власти и торгов;</w:t>
            </w:r>
          </w:p>
        </w:tc>
      </w:tr>
      <w:tr>
        <w:trPr>
          <w:trHeight w:val="595"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Лукьяненка К.К.</w:t>
            </w:r>
          </w:p>
        </w:tc>
        <w:tc>
          <w:tcPr>
            <w:tcBorders/>
            <w:shd w:val="clear" w:color="auto" w:fill="auto"/>
            <w:vAlign w:val="bottom"/>
          </w:tcPr>
          <w:p>
            <w:pPr>
              <w:pStyle w:val="Style2"/>
              <w:keepNext w:val="0"/>
              <w:keepLines w:val="0"/>
              <w:widowControl w:val="0"/>
              <w:shd w:val="clear" w:color="auto" w:fill="auto"/>
              <w:bidi w:val="0"/>
              <w:spacing w:before="0" w:after="0" w:line="240" w:lineRule="auto"/>
              <w:ind w:left="240" w:right="0" w:firstLine="60"/>
              <w:jc w:val="left"/>
              <w:rPr>
                <w:sz w:val="26"/>
                <w:szCs w:val="26"/>
              </w:rPr>
            </w:pPr>
            <w:r>
              <w:rPr>
                <w:color w:val="000000"/>
                <w:spacing w:val="0"/>
                <w:w w:val="100"/>
                <w:position w:val="0"/>
                <w:sz w:val="26"/>
                <w:szCs w:val="26"/>
                <w:shd w:val="clear" w:color="auto" w:fill="auto"/>
                <w:lang w:val="ru-RU" w:eastAsia="ru-RU" w:bidi="ru-RU"/>
              </w:rPr>
              <w:t>- специалиста-эксперта отдела контроля органов власти и торгов,</w:t>
            </w:r>
          </w:p>
        </w:tc>
      </w:tr>
    </w:tbl>
    <w:p>
      <w:pPr>
        <w:widowControl w:val="0"/>
        <w:spacing w:after="139" w:line="1" w:lineRule="exact"/>
      </w:pPr>
    </w:p>
    <w:p>
      <w:pPr>
        <w:pStyle w:val="Style23"/>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w:t>
      </w:r>
      <w:bookmarkEnd w:id="2"/>
    </w:p>
    <w:p>
      <w:pPr>
        <w:pStyle w:val="Style16"/>
        <w:keepNext w:val="0"/>
        <w:keepLines w:val="0"/>
        <w:widowControl w:val="0"/>
        <w:shd w:val="clear" w:color="auto" w:fill="auto"/>
        <w:bidi w:val="0"/>
        <w:spacing w:before="0" w:after="0" w:line="240" w:lineRule="auto"/>
        <w:ind w:left="0" w:right="0" w:firstLine="740"/>
        <w:jc w:val="both"/>
        <w:rPr>
          <w:sz w:val="26"/>
          <w:szCs w:val="26"/>
        </w:rPr>
      </w:pPr>
      <w:r>
        <w:rPr>
          <w:color w:val="000000"/>
          <w:spacing w:val="0"/>
          <w:w w:val="100"/>
          <w:position w:val="0"/>
          <w:sz w:val="26"/>
          <w:szCs w:val="26"/>
          <w:shd w:val="clear" w:color="auto" w:fill="auto"/>
          <w:lang w:val="ru-RU" w:eastAsia="ru-RU" w:bidi="ru-RU"/>
        </w:rPr>
        <w:t>рассмотрев жалобу (вх. № 8952-ЭП/23 от 25.10.2023) ООО «Бизнес-Плюс» (далее - Заявитель) на действия ФГБОУВО «СИБИРСКИЙ ГОСУДАРСТВЕННЫЙ МЕДИЦИНСКИЙ УНИВЕРСИТЕТ» МИНИСТЕРСТВА ЗДРАВООХРАНЕНИЯ РОССИЙСКОЙ ФЕДЕРАЦИИ (далее - Заказчик) при осуществлении закупки в форме электронного аукциона «Услуги по уборке помещений №1» (извещение № 0365100014823000681) (далее - аукцион),</w:t>
      </w:r>
    </w:p>
    <w:p>
      <w:pPr>
        <w:pStyle w:val="Style16"/>
        <w:keepNext w:val="0"/>
        <w:keepLines w:val="0"/>
        <w:widowControl w:val="0"/>
        <w:shd w:val="clear" w:color="auto" w:fill="auto"/>
        <w:bidi w:val="0"/>
        <w:spacing w:before="0" w:after="280" w:line="240" w:lineRule="auto"/>
        <w:ind w:left="0" w:right="0" w:firstLine="740"/>
        <w:jc w:val="both"/>
        <w:rPr>
          <w:sz w:val="26"/>
          <w:szCs w:val="26"/>
        </w:rPr>
      </w:pPr>
      <w:r>
        <w:rPr>
          <w:color w:val="000000"/>
          <w:spacing w:val="0"/>
          <w:w w:val="100"/>
          <w:position w:val="0"/>
          <w:sz w:val="26"/>
          <w:szCs w:val="26"/>
          <w:shd w:val="clear" w:color="auto" w:fill="auto"/>
          <w:lang w:val="ru-RU" w:eastAsia="ru-RU" w:bidi="ru-RU"/>
        </w:rPr>
        <w:t>при участии посредством ВКС представителей Заказчика Кручевской Ю.С. (доверенность № 560 от 08.12.2023), от Заявителя - Шеповалова М.В. (лицо, имеющее право представлять интересы без доверенности), Алексеева И.С. (доверенность № 10 от 03.06.2023), представитель третьего лица ИП Усачевой Е.Ю. Фурман Б.Г. (доверенность № б/н от 30.10.2023)</w:t>
      </w:r>
    </w:p>
    <w:p>
      <w:pPr>
        <w:pStyle w:val="Style16"/>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180" w:line="240" w:lineRule="auto"/>
        <w:ind w:left="0" w:right="0" w:firstLine="560"/>
        <w:jc w:val="both"/>
      </w:pPr>
      <w:r>
        <w:rPr>
          <w:color w:val="000000"/>
          <w:spacing w:val="0"/>
          <w:w w:val="100"/>
          <w:position w:val="0"/>
          <w:shd w:val="clear" w:color="auto" w:fill="auto"/>
          <w:lang w:val="ru-RU" w:eastAsia="ru-RU" w:bidi="ru-RU"/>
        </w:rPr>
        <w:t>В Томское УФАС России обратился Заявитель с жалобой, поданной в срок и соответствующей статье 105 Закона 44-ФЗ на действия Заказчика при осуществлении закупки в форме электронного аукциона «Услуги по уборке помещений №1» (извещение № 0365100014823000681),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извещение о проведении аукциона противоречит требованиям закона о контрактной системе.</w:t>
      </w:r>
    </w:p>
    <w:p>
      <w:pPr>
        <w:pStyle w:val="Style16"/>
        <w:keepNext w:val="0"/>
        <w:keepLines w:val="0"/>
        <w:widowControl w:val="0"/>
        <w:shd w:val="clear" w:color="auto" w:fill="auto"/>
        <w:bidi w:val="0"/>
        <w:spacing w:before="0" w:after="80" w:line="240" w:lineRule="auto"/>
        <w:ind w:left="0" w:right="0" w:firstLine="740"/>
        <w:jc w:val="both"/>
      </w:pPr>
      <w:r>
        <w:rPr>
          <w:color w:val="000000"/>
          <w:spacing w:val="0"/>
          <w:w w:val="100"/>
          <w:position w:val="0"/>
          <w:shd w:val="clear" w:color="auto" w:fill="auto"/>
          <w:lang w:val="ru-RU" w:eastAsia="ru-RU" w:bidi="ru-RU"/>
        </w:rPr>
        <w:t>Заявитель в жалобе указывает следующее:</w:t>
      </w:r>
    </w:p>
    <w:p>
      <w:pPr>
        <w:pStyle w:val="Style16"/>
        <w:keepNext w:val="0"/>
        <w:keepLines w:val="0"/>
        <w:widowControl w:val="0"/>
        <w:numPr>
          <w:ilvl w:val="0"/>
          <w:numId w:val="1"/>
        </w:numPr>
        <w:shd w:val="clear" w:color="auto" w:fill="auto"/>
        <w:tabs>
          <w:tab w:pos="1098" w:val="left"/>
        </w:tabs>
        <w:bidi w:val="0"/>
        <w:spacing w:before="0" w:after="0" w:line="240" w:lineRule="auto"/>
        <w:ind w:left="1080" w:right="0" w:hanging="340"/>
        <w:jc w:val="both"/>
      </w:pPr>
      <w:r>
        <w:rPr>
          <w:color w:val="000000"/>
          <w:spacing w:val="0"/>
          <w:w w:val="100"/>
          <w:position w:val="0"/>
          <w:shd w:val="clear" w:color="auto" w:fill="auto"/>
          <w:lang w:val="ru-RU" w:eastAsia="ru-RU" w:bidi="ru-RU"/>
        </w:rPr>
        <w:t>Документация о закупке содержит не соответствующие законодательству требования. А именно, при описании закупаемой услуги Заказчиком установлены характеристики не в соответствии с позицией КТРУ, соответствующей закупаемому товару;</w:t>
      </w:r>
    </w:p>
    <w:p>
      <w:pPr>
        <w:pStyle w:val="Style16"/>
        <w:keepNext w:val="0"/>
        <w:keepLines w:val="0"/>
        <w:widowControl w:val="0"/>
        <w:numPr>
          <w:ilvl w:val="0"/>
          <w:numId w:val="1"/>
        </w:numPr>
        <w:shd w:val="clear" w:color="auto" w:fill="auto"/>
        <w:tabs>
          <w:tab w:pos="1122" w:val="left"/>
        </w:tabs>
        <w:bidi w:val="0"/>
        <w:spacing w:before="0" w:after="0" w:line="240" w:lineRule="auto"/>
        <w:ind w:left="1080" w:right="0" w:hanging="340"/>
        <w:jc w:val="both"/>
      </w:pPr>
      <w:r>
        <w:rPr>
          <w:color w:val="000000"/>
          <w:spacing w:val="0"/>
          <w:w w:val="100"/>
          <w:position w:val="0"/>
          <w:shd w:val="clear" w:color="auto" w:fill="auto"/>
          <w:lang w:val="ru-RU" w:eastAsia="ru-RU" w:bidi="ru-RU"/>
        </w:rPr>
        <w:t>Документация о закупке содержит неточности и противоречия по объему оказываемых услуг. В частности, документация о закупке не содержит исчерпывающей количественной оценки, позволяющей определить полный объем оказываемой услуги, имеются противоречия;</w:t>
      </w:r>
    </w:p>
    <w:p>
      <w:pPr>
        <w:pStyle w:val="Style16"/>
        <w:keepNext w:val="0"/>
        <w:keepLines w:val="0"/>
        <w:widowControl w:val="0"/>
        <w:numPr>
          <w:ilvl w:val="0"/>
          <w:numId w:val="1"/>
        </w:numPr>
        <w:shd w:val="clear" w:color="auto" w:fill="auto"/>
        <w:tabs>
          <w:tab w:pos="1117" w:val="left"/>
        </w:tabs>
        <w:bidi w:val="0"/>
        <w:spacing w:before="0" w:after="0" w:line="240" w:lineRule="auto"/>
        <w:ind w:left="1080" w:right="0" w:hanging="340"/>
        <w:jc w:val="both"/>
      </w:pPr>
      <w:r>
        <w:rPr>
          <w:color w:val="000000"/>
          <w:spacing w:val="0"/>
          <w:w w:val="100"/>
          <w:position w:val="0"/>
          <w:shd w:val="clear" w:color="auto" w:fill="auto"/>
          <w:lang w:val="ru-RU" w:eastAsia="ru-RU" w:bidi="ru-RU"/>
        </w:rPr>
        <w:t>Документация и проект контракта содержит нарушение требования законодательства об установлении этапов исполнения контракта;</w:t>
      </w:r>
    </w:p>
    <w:p>
      <w:pPr>
        <w:pStyle w:val="Style16"/>
        <w:keepNext w:val="0"/>
        <w:keepLines w:val="0"/>
        <w:widowControl w:val="0"/>
        <w:numPr>
          <w:ilvl w:val="0"/>
          <w:numId w:val="1"/>
        </w:numPr>
        <w:shd w:val="clear" w:color="auto" w:fill="auto"/>
        <w:tabs>
          <w:tab w:pos="1127" w:val="left"/>
        </w:tabs>
        <w:bidi w:val="0"/>
        <w:spacing w:before="0" w:after="0" w:line="240" w:lineRule="auto"/>
        <w:ind w:left="1080" w:right="0" w:hanging="340"/>
        <w:jc w:val="both"/>
      </w:pPr>
      <w:r>
        <w:rPr>
          <w:color w:val="000000"/>
          <w:spacing w:val="0"/>
          <w:w w:val="100"/>
          <w:position w:val="0"/>
          <w:shd w:val="clear" w:color="auto" w:fill="auto"/>
          <w:lang w:val="ru-RU" w:eastAsia="ru-RU" w:bidi="ru-RU"/>
        </w:rPr>
        <w:t>Аукционная документация содержит условие предоставления инструмента/инвентаря во временное пользование Заказчика, что нарушает требования части 3 статьи 33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пояснил, что требования установлены в соответствии с законодательством Российской Федерации.</w:t>
      </w:r>
    </w:p>
    <w:p>
      <w:pPr>
        <w:pStyle w:val="Style16"/>
        <w:keepNext w:val="0"/>
        <w:keepLines w:val="0"/>
        <w:widowControl w:val="0"/>
        <w:shd w:val="clear" w:color="auto" w:fill="auto"/>
        <w:bidi w:val="0"/>
        <w:spacing w:before="0" w:after="0" w:line="240" w:lineRule="auto"/>
        <w:ind w:left="1080" w:right="0" w:hanging="340"/>
        <w:jc w:val="both"/>
      </w:pPr>
      <w:r>
        <w:rPr>
          <w:color w:val="000000"/>
          <w:spacing w:val="0"/>
          <w:w w:val="100"/>
          <w:position w:val="0"/>
          <w:shd w:val="clear" w:color="auto" w:fill="auto"/>
          <w:lang w:val="ru-RU" w:eastAsia="ru-RU" w:bidi="ru-RU"/>
        </w:rPr>
        <w:t>Представитель Заявителя просит признать жалобу обоснованной.</w:t>
      </w:r>
    </w:p>
    <w:p>
      <w:pPr>
        <w:pStyle w:val="Style16"/>
        <w:keepNext w:val="0"/>
        <w:keepLines w:val="0"/>
        <w:widowControl w:val="0"/>
        <w:shd w:val="clear" w:color="auto" w:fill="auto"/>
        <w:bidi w:val="0"/>
        <w:spacing w:before="0" w:after="180" w:line="240" w:lineRule="auto"/>
        <w:ind w:left="1080" w:right="0" w:hanging="340"/>
        <w:jc w:val="both"/>
      </w:pPr>
      <w:r>
        <w:rPr>
          <w:color w:val="000000"/>
          <w:spacing w:val="0"/>
          <w:w w:val="100"/>
          <w:position w:val="0"/>
          <w:shd w:val="clear" w:color="auto" w:fill="auto"/>
          <w:lang w:val="ru-RU" w:eastAsia="ru-RU" w:bidi="ru-RU"/>
        </w:rPr>
        <w:t>Представитель Заявителя просит признать жалобу необоснованной.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Томского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 проведении закупки размещено на Официальном сайте единой информационной системы в сфере закупок в информационно</w:t>
        <w:softHyphen/>
        <w:t>телекоммуникационной сети Интернет (далее - Официальный сайт, ЕИС) 17.10.2023.</w:t>
      </w:r>
    </w:p>
    <w:p>
      <w:pPr>
        <w:pStyle w:val="Style16"/>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3 915 458,90 руб.</w:t>
      </w:r>
    </w:p>
    <w:p>
      <w:pPr>
        <w:pStyle w:val="Style16"/>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Объект закупки - «Услуги по уборке помещений №1».</w:t>
      </w:r>
    </w:p>
    <w:p>
      <w:pPr>
        <w:pStyle w:val="Style16"/>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На участие в закупке подано 6 заявок.</w:t>
      </w:r>
    </w:p>
    <w:p>
      <w:pPr>
        <w:pStyle w:val="Style16"/>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Пунктом 1 - 2 части 1 статьи 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16"/>
        <w:keepNext w:val="0"/>
        <w:keepLines w:val="0"/>
        <w:widowControl w:val="0"/>
        <w:numPr>
          <w:ilvl w:val="0"/>
          <w:numId w:val="3"/>
        </w:numPr>
        <w:shd w:val="clear" w:color="auto" w:fill="auto"/>
        <w:tabs>
          <w:tab w:pos="95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6"/>
        <w:keepNext w:val="0"/>
        <w:keepLines w:val="0"/>
        <w:widowControl w:val="0"/>
        <w:numPr>
          <w:ilvl w:val="0"/>
          <w:numId w:val="5"/>
        </w:numPr>
        <w:shd w:val="clear" w:color="auto" w:fill="auto"/>
        <w:tabs>
          <w:tab w:pos="94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6"/>
        <w:keepNext w:val="0"/>
        <w:keepLines w:val="0"/>
        <w:widowControl w:val="0"/>
        <w:numPr>
          <w:ilvl w:val="0"/>
          <w:numId w:val="5"/>
        </w:numPr>
        <w:shd w:val="clear" w:color="auto" w:fill="auto"/>
        <w:tabs>
          <w:tab w:pos="95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6"/>
        <w:keepNext w:val="0"/>
        <w:keepLines w:val="0"/>
        <w:widowControl w:val="0"/>
        <w:numPr>
          <w:ilvl w:val="0"/>
          <w:numId w:val="5"/>
        </w:numPr>
        <w:shd w:val="clear" w:color="auto" w:fill="auto"/>
        <w:tabs>
          <w:tab w:pos="94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keepNext w:val="0"/>
        <w:keepLines w:val="0"/>
        <w:widowControl w:val="0"/>
        <w:numPr>
          <w:ilvl w:val="0"/>
          <w:numId w:val="5"/>
        </w:numPr>
        <w:shd w:val="clear" w:color="auto" w:fill="auto"/>
        <w:tabs>
          <w:tab w:pos="114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6"/>
        <w:keepNext w:val="0"/>
        <w:keepLines w:val="0"/>
        <w:widowControl w:val="0"/>
        <w:numPr>
          <w:ilvl w:val="0"/>
          <w:numId w:val="3"/>
        </w:numPr>
        <w:shd w:val="clear" w:color="auto" w:fill="auto"/>
        <w:tabs>
          <w:tab w:pos="124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Pr>
          <w:color w:val="000000"/>
          <w:spacing w:val="0"/>
          <w:w w:val="100"/>
          <w:position w:val="0"/>
          <w:shd w:val="clear" w:color="auto" w:fill="auto"/>
          <w:lang w:val="ru-RU" w:eastAsia="ru-RU" w:bidi="ru-RU"/>
        </w:rPr>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пункта 14 части 3 статьи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подпункта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пункта 4 Правил использования КТРУ Заказчики обязаны применять информацию, включенную в позицию каталога в соответствии с подпунктами "б" - "и" пункта 10 Правил формирования КТРУ.</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подпункта "г" пункта 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пунктом 13 Правил формирования КТРУ.</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пунктом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На заседании Комиссии установлено, что Заказчиком в извещении о проведении Аукциона для оказываемой услуги установлен код позиции КТРУ 81.21.10.000-00000006.</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Согласно Техническому заданию Приложения № 1 к Контракту, в рамках исполнения контракта предусмотрено: Наименование объекта закупки: Услуги по уборке помещений в количестве 959 671,30 кв.м.</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При этом Техническим заданием пунктом 1.6 предусмотрено, что мытье окон (4279 кв.м.) с уличной стороны, осуществляется персоналом, имеющим допуск к работам на высоте, что должно быть подтверждено соответствующими документами. Мытье окон осуществляется с уличной и внутренней стороны два раза в год: в мае и сентябре (окна пластиковые и деревянные) Мытье окон входит в стоимость контракта.</w:t>
      </w:r>
    </w:p>
    <w:p>
      <w:pPr>
        <w:pStyle w:val="Style16"/>
        <w:keepNext w:val="0"/>
        <w:keepLines w:val="0"/>
        <w:widowControl w:val="0"/>
        <w:shd w:val="clear" w:color="auto" w:fill="auto"/>
        <w:bidi w:val="0"/>
        <w:spacing w:before="0" w:after="0" w:line="240" w:lineRule="auto"/>
        <w:ind w:left="540" w:right="0" w:firstLine="680"/>
        <w:jc w:val="both"/>
      </w:pPr>
      <w:r>
        <w:rPr>
          <w:color w:val="000000"/>
          <w:spacing w:val="0"/>
          <w:w w:val="100"/>
          <w:position w:val="0"/>
          <w:shd w:val="clear" w:color="auto" w:fill="auto"/>
          <w:lang w:val="ru-RU" w:eastAsia="ru-RU" w:bidi="ru-RU"/>
        </w:rPr>
        <w:t>Вместе с тем, на заседании Комиссии представитель Заказчика представил пояснения, согласно которым:</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Понятие «Услуги по уборке» является комплексным и мытье окон также является услугой по уборке.</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Также Заказчик отмечает, что так как такой вид услуги по уборке как мытье окон требуется лишь 2 раза в год выделять, исходя из собственных нужд и опыта потребления соответствующих услуг, применять позицию КТРУ отличную от 81.21.10.000-00000006 нецелесообразно, а указание заказчиком в аукционной документации особых характеристик товара, услуг, которые отвечают его потребностям и необходимы Заказчику с учетом специфики использования такого товара, услуг, не может рассматриваться как ограничение круга потенциальных участников закупки.</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Комиссией установлено, что код позиции КТРУ 81.21.10.000-00000006 предусматривает ОКПД2: «81.22.1: Услуги по промышленной уборке», «81.29.1: Услуги по чистке и уборке прочие», «81.22.11.000: Услуги по мытью окон», «81.21.10.000: Услуги по общей уборке зданий». Соответственно, выбирая КТРУ 81.21.10.000-00000006, заказчик правомерно включил услуги по мытью окон в состав необходимых услуг.</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Кроме того, КТРУ 81.21.10.000-00000006 предусматривает соблюдение требований ГОСТ Р 51870-2014 «Услуги профессиональной уборки - клининговые услуги. Общие технические условия».</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В соответствии с описанием объекта закупки, услуги оказываются в соответствии с требованиями ГОСТ Р 51870-2014 «Услуги профессиональной уборки - клининговые услуги. Общие технические условия» и другими нормативными документами, предусмотренными Законодательством РФ.</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ГОСТ Р 51870-2014 "Услуги профессиональной уборки - клининговые услуги. Общие технические условия" относит услуги по очистке стеклянных поверхностей и фасадные работы к услугам профессиональной уборки.</w:t>
      </w:r>
    </w:p>
    <w:p>
      <w:pPr>
        <w:pStyle w:val="Style16"/>
        <w:keepNext w:val="0"/>
        <w:keepLines w:val="0"/>
        <w:widowControl w:val="0"/>
        <w:shd w:val="clear" w:color="auto" w:fill="auto"/>
        <w:bidi w:val="0"/>
        <w:spacing w:before="0" w:after="0" w:line="240" w:lineRule="auto"/>
        <w:ind w:left="540" w:right="0" w:firstLine="540"/>
        <w:jc w:val="both"/>
      </w:pPr>
      <w:r>
        <w:rPr>
          <w:color w:val="000000"/>
          <w:spacing w:val="0"/>
          <w:w w:val="100"/>
          <w:position w:val="0"/>
          <w:shd w:val="clear" w:color="auto" w:fill="auto"/>
          <w:lang w:val="ru-RU" w:eastAsia="ru-RU" w:bidi="ru-RU"/>
        </w:rPr>
        <w:t>На основании имеющихся документов и сведений, а также с учетом пояснений представителей Заказчика, Заявителя Комиссия Управления приходит к выводу, что довод жалобы Заявителя в данной части является необоснованным.</w:t>
      </w:r>
    </w:p>
    <w:p>
      <w:pPr>
        <w:pStyle w:val="Style16"/>
        <w:keepNext w:val="0"/>
        <w:keepLines w:val="0"/>
        <w:widowControl w:val="0"/>
        <w:shd w:val="clear" w:color="auto" w:fill="auto"/>
        <w:bidi w:val="0"/>
        <w:spacing w:before="0" w:after="0" w:line="240" w:lineRule="auto"/>
        <w:ind w:left="540" w:right="0" w:firstLine="560"/>
        <w:jc w:val="both"/>
      </w:pPr>
      <w:r>
        <w:rPr>
          <w:color w:val="000000"/>
          <w:spacing w:val="0"/>
          <w:w w:val="100"/>
          <w:position w:val="0"/>
          <w:shd w:val="clear" w:color="auto" w:fill="auto"/>
          <w:lang w:val="ru-RU" w:eastAsia="ru-RU" w:bidi="ru-RU"/>
        </w:rPr>
        <w:t>В части второго довода, согласно которому документация о закупке содержит неточности и противоречия по объему оказываемых услуг, а именно отсутствует исчерпывающая количественная оценка, позволяющая определить полный объем оказываемой услуги, имеются противоречия Комиссией Управления установлено следующее:</w:t>
      </w:r>
    </w:p>
    <w:p>
      <w:pPr>
        <w:pStyle w:val="Style16"/>
        <w:keepNext w:val="0"/>
        <w:keepLines w:val="0"/>
        <w:widowControl w:val="0"/>
        <w:shd w:val="clear" w:color="auto" w:fill="auto"/>
        <w:bidi w:val="0"/>
        <w:spacing w:before="0" w:after="0" w:line="240" w:lineRule="auto"/>
        <w:ind w:left="680" w:right="0" w:firstLine="560"/>
        <w:jc w:val="both"/>
      </w:pPr>
      <w:r>
        <w:rPr>
          <w:color w:val="000000"/>
          <w:spacing w:val="0"/>
          <w:w w:val="100"/>
          <w:position w:val="0"/>
          <w:shd w:val="clear" w:color="auto" w:fill="auto"/>
          <w:lang w:val="ru-RU" w:eastAsia="ru-RU" w:bidi="ru-RU"/>
        </w:rPr>
        <w:t>Пунктом 3 части 1 статьи 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16"/>
        <w:keepNext w:val="0"/>
        <w:keepLines w:val="0"/>
        <w:widowControl w:val="0"/>
        <w:numPr>
          <w:ilvl w:val="0"/>
          <w:numId w:val="3"/>
        </w:numPr>
        <w:shd w:val="clear" w:color="auto" w:fill="auto"/>
        <w:tabs>
          <w:tab w:pos="1607" w:val="left"/>
        </w:tabs>
        <w:bidi w:val="0"/>
        <w:spacing w:before="0" w:after="0" w:line="240" w:lineRule="auto"/>
        <w:ind w:left="680" w:right="0" w:firstLine="560"/>
        <w:jc w:val="both"/>
      </w:pPr>
      <w:r>
        <w:rPr>
          <w:color w:val="000000"/>
          <w:spacing w:val="0"/>
          <w:w w:val="100"/>
          <w:position w:val="0"/>
          <w:shd w:val="clear" w:color="auto" w:fill="auto"/>
          <w:lang w:val="ru-RU" w:eastAsia="ru-RU" w:bidi="ru-RU"/>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16"/>
        <w:keepNext w:val="0"/>
        <w:keepLines w:val="0"/>
        <w:widowControl w:val="0"/>
        <w:shd w:val="clear" w:color="auto" w:fill="auto"/>
        <w:bidi w:val="0"/>
        <w:spacing w:before="0" w:after="0" w:line="240" w:lineRule="auto"/>
        <w:ind w:left="540" w:right="0" w:firstLine="560"/>
        <w:jc w:val="both"/>
      </w:pPr>
      <w:r>
        <w:rPr>
          <w:color w:val="000000"/>
          <w:spacing w:val="0"/>
          <w:w w:val="100"/>
          <w:position w:val="0"/>
          <w:shd w:val="clear" w:color="auto" w:fill="auto"/>
          <w:lang w:val="ru-RU" w:eastAsia="ru-RU" w:bidi="ru-RU"/>
        </w:rPr>
        <w:t>Таким образом, Комиссией Управлений установлено, что описание объекта закупки может включать в себя план, экспликацию помещений, подлежащих уборке, при этом отсутствие указанных документов не свидетельствует о том, что количественная оценка, позволяющая определить объем оказываемой услуги отсутствует.</w:t>
      </w:r>
    </w:p>
    <w:p>
      <w:pPr>
        <w:pStyle w:val="Style1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Заказчиком в описании объекта закупки установлено следующее:</w:t>
      </w:r>
    </w:p>
    <w:tbl>
      <w:tblPr>
        <w:tblOverlap w:val="never"/>
        <w:jc w:val="center"/>
        <w:tblLayout w:type="fixed"/>
      </w:tblPr>
      <w:tblGrid>
        <w:gridCol w:w="499"/>
        <w:gridCol w:w="931"/>
        <w:gridCol w:w="1915"/>
        <w:gridCol w:w="2784"/>
        <w:gridCol w:w="1973"/>
        <w:gridCol w:w="1430"/>
        <w:gridCol w:w="1138"/>
      </w:tblGrid>
      <w:tr>
        <w:trPr>
          <w:trHeight w:val="773"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 п/ п</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КТРУ</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объекта закупки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Наименование показателя</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Значение показателя</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320"/>
              <w:jc w:val="left"/>
              <w:rPr>
                <w:sz w:val="22"/>
                <w:szCs w:val="22"/>
              </w:rPr>
            </w:pPr>
            <w:r>
              <w:rPr>
                <w:b/>
                <w:bCs/>
                <w:color w:val="000000"/>
                <w:spacing w:val="0"/>
                <w:w w:val="100"/>
                <w:position w:val="0"/>
                <w:sz w:val="22"/>
                <w:szCs w:val="22"/>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20"/>
              <w:jc w:val="left"/>
              <w:rPr>
                <w:sz w:val="22"/>
                <w:szCs w:val="22"/>
              </w:rPr>
            </w:pPr>
            <w:r>
              <w:rPr>
                <w:b/>
                <w:bCs/>
                <w:color w:val="000000"/>
                <w:spacing w:val="0"/>
                <w:w w:val="100"/>
                <w:position w:val="0"/>
                <w:sz w:val="22"/>
                <w:szCs w:val="22"/>
                <w:shd w:val="clear" w:color="auto" w:fill="auto"/>
                <w:lang w:val="ru-RU" w:eastAsia="ru-RU" w:bidi="ru-RU"/>
              </w:rPr>
              <w:t>Кол-во</w:t>
            </w:r>
          </w:p>
        </w:tc>
      </w:tr>
      <w:tr>
        <w:trPr>
          <w:trHeight w:val="76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Наличие</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профессионального ухода за поверхностями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tcBorders>
              <w:left w:val="single" w:sz="4"/>
            </w:tcBorders>
            <w:shd w:val="clear" w:color="auto" w:fill="auto"/>
            <w:vAlign w:val="top"/>
          </w:tcPr>
          <w:p>
            <w:pPr>
              <w:widowControl w:val="0"/>
              <w:rPr>
                <w:sz w:val="10"/>
                <w:szCs w:val="10"/>
              </w:rPr>
            </w:pPr>
          </w:p>
        </w:tc>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81.21.1</w:t>
            </w:r>
          </w:p>
        </w:tc>
        <w:tc>
          <w:tcPr>
            <w:tcBorders>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Способ уборки</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Ручная, Механизированна я</w:t>
            </w:r>
          </w:p>
        </w:tc>
        <w:tc>
          <w:tcPr>
            <w:tcBorders>
              <w:left w:val="single" w:sz="4"/>
            </w:tcBorders>
            <w:shd w:val="clear" w:color="auto" w:fill="auto"/>
            <w:vAlign w:val="top"/>
          </w:tcPr>
          <w:p>
            <w:pPr>
              <w:widowControl w:val="0"/>
              <w:rPr>
                <w:sz w:val="10"/>
                <w:szCs w:val="10"/>
              </w:rPr>
            </w:pPr>
          </w:p>
        </w:tc>
        <w:tc>
          <w:tcPr>
            <w:tcBorders>
              <w:left w:val="single" w:sz="4"/>
              <w:right w:val="single" w:sz="4"/>
            </w:tcBorders>
            <w:shd w:val="clear" w:color="auto" w:fill="auto"/>
            <w:vAlign w:val="top"/>
          </w:tcPr>
          <w:p>
            <w:pPr>
              <w:widowControl w:val="0"/>
              <w:rPr>
                <w:sz w:val="10"/>
                <w:szCs w:val="10"/>
              </w:rPr>
            </w:pPr>
          </w:p>
        </w:tc>
      </w:tr>
      <w:tr>
        <w:trPr>
          <w:trHeight w:val="264" w:hRule="exact"/>
        </w:trPr>
        <w:tc>
          <w:tcPr>
            <w:vMerge w:val="restart"/>
            <w:tcBorders>
              <w:left w:val="single" w:sz="4"/>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w:t>
            </w:r>
          </w:p>
        </w:tc>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0.000-</w:t>
            </w:r>
          </w:p>
        </w:tc>
        <w:tc>
          <w:tcPr>
            <w:vMerge w:val="restart"/>
            <w:tcBorders>
              <w:left w:val="single" w:sz="4"/>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Услуги по уборке</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Тип объекта</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Помещение</w:t>
            </w:r>
          </w:p>
        </w:tc>
        <w:tc>
          <w:tcPr>
            <w:tcBorders>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Квадратный</w:t>
            </w:r>
          </w:p>
        </w:tc>
        <w:tc>
          <w:tcPr>
            <w:tcBorders>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959 671,3</w:t>
            </w:r>
          </w:p>
        </w:tc>
      </w:tr>
      <w:tr>
        <w:trPr>
          <w:trHeight w:val="1786" w:hRule="exact"/>
        </w:trPr>
        <w:tc>
          <w:tcPr>
            <w:vMerge/>
            <w:tcBorders>
              <w:left w:val="single" w:sz="4"/>
              <w:bottom w:val="single" w:sz="4"/>
            </w:tcBorders>
            <w:shd w:val="clear" w:color="auto" w:fill="auto"/>
            <w:vAlign w:val="top"/>
          </w:tcPr>
          <w:p>
            <w:pPr/>
          </w:p>
        </w:tc>
        <w:tc>
          <w:tcPr>
            <w:tcBorders>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000000</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06</w:t>
            </w: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Тип уборки помещения</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Ежедневная поддерживающая, Ежедневная основная, Генеральная, Послестроительна я</w:t>
            </w:r>
          </w:p>
        </w:tc>
        <w:tc>
          <w:tcPr>
            <w:tcBorders>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метр</w:t>
            </w:r>
          </w:p>
        </w:tc>
        <w:tc>
          <w:tcPr>
            <w:tcBorders>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0</w:t>
            </w:r>
          </w:p>
        </w:tc>
      </w:tr>
    </w:tbl>
    <w:p>
      <w:pPr>
        <w:widowControl w:val="0"/>
        <w:spacing w:line="1" w:lineRule="exact"/>
      </w:pPr>
      <w:r>
        <w:br w:type="page"/>
      </w:r>
    </w:p>
    <w:tbl>
      <w:tblPr>
        <w:tblOverlap w:val="never"/>
        <w:jc w:val="center"/>
        <w:tblLayout w:type="fixed"/>
      </w:tblPr>
      <w:tblGrid>
        <w:gridCol w:w="538"/>
        <w:gridCol w:w="1008"/>
        <w:gridCol w:w="826"/>
        <w:gridCol w:w="686"/>
        <w:gridCol w:w="1483"/>
        <w:gridCol w:w="1186"/>
        <w:gridCol w:w="1200"/>
        <w:gridCol w:w="850"/>
        <w:gridCol w:w="912"/>
        <w:gridCol w:w="1589"/>
      </w:tblGrid>
      <w:tr>
        <w:trPr>
          <w:trHeight w:val="4541"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 п/п</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Названи е корпуса</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Адрес в г.</w:t>
            </w:r>
          </w:p>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Томск</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48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Площ адь уборк и пола (м</w:t>
            </w:r>
            <w:r>
              <w:rPr>
                <w:b/>
                <w:bCs/>
                <w:color w:val="000000"/>
                <w:spacing w:val="0"/>
                <w:w w:val="100"/>
                <w:position w:val="0"/>
                <w:sz w:val="22"/>
                <w:szCs w:val="22"/>
                <w:shd w:val="clear" w:color="auto" w:fill="auto"/>
                <w:vertAlign w:val="superscript"/>
                <w:lang w:val="ru-RU" w:eastAsia="ru-RU" w:bidi="ru-RU"/>
              </w:rPr>
              <w:t>2</w:t>
            </w:r>
            <w:r>
              <w:rPr>
                <w:b/>
                <w:bCs/>
                <w:color w:val="000000"/>
                <w:spacing w:val="0"/>
                <w:w w:val="100"/>
                <w:position w:val="0"/>
                <w:sz w:val="22"/>
                <w:szCs w:val="22"/>
                <w:shd w:val="clear" w:color="auto" w:fill="auto"/>
                <w:lang w:val="ru-RU" w:eastAsia="ru-RU" w:bidi="ru-RU"/>
              </w:rPr>
              <w:t>) в дневн ое время , в день</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Площадь уборки санитарных комнат при входных зонах, влажная уборка №1, №2 (67,7м</w:t>
            </w:r>
            <w:r>
              <w:rPr>
                <w:b/>
                <w:bCs/>
                <w:color w:val="000000"/>
                <w:spacing w:val="0"/>
                <w:w w:val="100"/>
                <w:position w:val="0"/>
                <w:sz w:val="22"/>
                <w:szCs w:val="22"/>
                <w:shd w:val="clear" w:color="auto" w:fill="auto"/>
                <w:vertAlign w:val="superscript"/>
                <w:lang w:val="ru-RU" w:eastAsia="ru-RU" w:bidi="ru-RU"/>
              </w:rPr>
              <w:t>2</w:t>
            </w:r>
            <w:r>
              <w:rPr>
                <w:b/>
                <w:bCs/>
                <w:color w:val="000000"/>
                <w:spacing w:val="0"/>
                <w:w w:val="100"/>
                <w:position w:val="0"/>
                <w:sz w:val="22"/>
                <w:szCs w:val="22"/>
                <w:shd w:val="clear" w:color="auto" w:fill="auto"/>
                <w:lang w:val="ru-RU" w:eastAsia="ru-RU" w:bidi="ru-RU"/>
              </w:rPr>
              <w:t>) 3 раза в день, 1 раз в дневное время уборка лестницы в башенную аудиторию (187,00 м</w:t>
            </w:r>
            <w:r>
              <w:rPr>
                <w:b/>
                <w:bCs/>
                <w:color w:val="000000"/>
                <w:spacing w:val="0"/>
                <w:w w:val="100"/>
                <w:position w:val="0"/>
                <w:sz w:val="22"/>
                <w:szCs w:val="22"/>
                <w:shd w:val="clear" w:color="auto" w:fill="auto"/>
                <w:vertAlign w:val="superscript"/>
                <w:lang w:val="ru-RU" w:eastAsia="ru-RU" w:bidi="ru-RU"/>
              </w:rPr>
              <w:t>2</w:t>
            </w:r>
            <w:r>
              <w:rPr>
                <w:b/>
                <w:bCs/>
                <w:color w:val="000000"/>
                <w:spacing w:val="0"/>
                <w:w w:val="100"/>
                <w:position w:val="0"/>
                <w:sz w:val="22"/>
                <w:szCs w:val="22"/>
                <w:shd w:val="clear" w:color="auto" w:fill="auto"/>
                <w:lang w:val="ru-RU" w:eastAsia="ru-RU" w:bidi="ru-RU"/>
              </w:rPr>
              <w:t>)</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Площадь пола входной зоны № 1 (324,30 м</w:t>
            </w:r>
            <w:r>
              <w:rPr>
                <w:b/>
                <w:bCs/>
                <w:color w:val="000000"/>
                <w:spacing w:val="0"/>
                <w:w w:val="100"/>
                <w:position w:val="0"/>
                <w:sz w:val="22"/>
                <w:szCs w:val="22"/>
                <w:shd w:val="clear" w:color="auto" w:fill="auto"/>
                <w:vertAlign w:val="superscript"/>
                <w:lang w:val="ru-RU" w:eastAsia="ru-RU" w:bidi="ru-RU"/>
              </w:rPr>
              <w:t>2</w:t>
            </w:r>
            <w:r>
              <w:rPr>
                <w:b/>
                <w:bCs/>
                <w:color w:val="000000"/>
                <w:spacing w:val="0"/>
                <w:w w:val="100"/>
                <w:position w:val="0"/>
                <w:sz w:val="22"/>
                <w:szCs w:val="22"/>
                <w:shd w:val="clear" w:color="auto" w:fill="auto"/>
                <w:lang w:val="ru-RU" w:eastAsia="ru-RU" w:bidi="ru-RU"/>
              </w:rPr>
              <w:t>) 3 раза влажная уборка, в день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Площадь пола входной зоны № 2 (27,30м</w:t>
            </w:r>
            <w:r>
              <w:rPr>
                <w:b/>
                <w:bCs/>
                <w:color w:val="000000"/>
                <w:spacing w:val="0"/>
                <w:w w:val="100"/>
                <w:position w:val="0"/>
                <w:sz w:val="22"/>
                <w:szCs w:val="22"/>
                <w:shd w:val="clear" w:color="auto" w:fill="auto"/>
                <w:vertAlign w:val="superscript"/>
                <w:lang w:val="ru-RU" w:eastAsia="ru-RU" w:bidi="ru-RU"/>
              </w:rPr>
              <w:t>2</w:t>
            </w:r>
            <w:r>
              <w:rPr>
                <w:b/>
                <w:bCs/>
                <w:color w:val="000000"/>
                <w:spacing w:val="0"/>
                <w:w w:val="100"/>
                <w:position w:val="0"/>
                <w:sz w:val="22"/>
                <w:szCs w:val="22"/>
                <w:shd w:val="clear" w:color="auto" w:fill="auto"/>
                <w:lang w:val="ru-RU" w:eastAsia="ru-RU" w:bidi="ru-RU"/>
              </w:rPr>
              <w:t>) 3 раза влажная уборка, в день</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Площа дь уборки пола (м</w:t>
            </w:r>
            <w:r>
              <w:rPr>
                <w:b/>
                <w:bCs/>
                <w:color w:val="000000"/>
                <w:spacing w:val="0"/>
                <w:w w:val="100"/>
                <w:position w:val="0"/>
                <w:sz w:val="22"/>
                <w:szCs w:val="22"/>
                <w:shd w:val="clear" w:color="auto" w:fill="auto"/>
                <w:vertAlign w:val="superscript"/>
                <w:lang w:val="ru-RU" w:eastAsia="ru-RU" w:bidi="ru-RU"/>
              </w:rPr>
              <w:t>2</w:t>
            </w:r>
            <w:r>
              <w:rPr>
                <w:b/>
                <w:bCs/>
                <w:color w:val="000000"/>
                <w:spacing w:val="0"/>
                <w:w w:val="100"/>
                <w:position w:val="0"/>
                <w:sz w:val="22"/>
                <w:szCs w:val="22"/>
                <w:shd w:val="clear" w:color="auto" w:fill="auto"/>
                <w:lang w:val="ru-RU" w:eastAsia="ru-RU" w:bidi="ru-RU"/>
              </w:rPr>
              <w:t>) в вечерн ее время, в день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Общая убираем ая площад ь в (м</w:t>
            </w:r>
            <w:r>
              <w:rPr>
                <w:b/>
                <w:bCs/>
                <w:color w:val="000000"/>
                <w:spacing w:val="0"/>
                <w:w w:val="100"/>
                <w:position w:val="0"/>
                <w:sz w:val="22"/>
                <w:szCs w:val="22"/>
                <w:shd w:val="clear" w:color="auto" w:fill="auto"/>
                <w:vertAlign w:val="superscript"/>
                <w:lang w:val="ru-RU" w:eastAsia="ru-RU" w:bidi="ru-RU"/>
              </w:rPr>
              <w:t>2</w:t>
            </w:r>
            <w:r>
              <w:rPr>
                <w:b/>
                <w:bCs/>
                <w:color w:val="000000"/>
                <w:spacing w:val="0"/>
                <w:w w:val="100"/>
                <w:position w:val="0"/>
                <w:sz w:val="22"/>
                <w:szCs w:val="22"/>
                <w:shd w:val="clear" w:color="auto" w:fill="auto"/>
                <w:lang w:val="ru-RU" w:eastAsia="ru-RU" w:bidi="ru-RU"/>
              </w:rPr>
              <w:t>), в день</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240" w:after="22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Общая убираемая площадь, в м</w:t>
            </w:r>
            <w:r>
              <w:rPr>
                <w:b/>
                <w:bCs/>
                <w:color w:val="000000"/>
                <w:spacing w:val="0"/>
                <w:w w:val="100"/>
                <w:position w:val="0"/>
                <w:sz w:val="22"/>
                <w:szCs w:val="22"/>
                <w:shd w:val="clear" w:color="auto" w:fill="auto"/>
                <w:vertAlign w:val="superscript"/>
                <w:lang w:val="ru-RU" w:eastAsia="ru-RU" w:bidi="ru-RU"/>
              </w:rPr>
              <w:t xml:space="preserve">2 </w:t>
            </w:r>
            <w:r>
              <w:rPr>
                <w:b/>
                <w:bCs/>
                <w:color w:val="000000"/>
                <w:spacing w:val="0"/>
                <w:w w:val="100"/>
                <w:position w:val="0"/>
                <w:sz w:val="22"/>
                <w:szCs w:val="22"/>
                <w:shd w:val="clear" w:color="auto" w:fill="auto"/>
                <w:lang w:val="ru-RU" w:eastAsia="ru-RU" w:bidi="ru-RU"/>
              </w:rPr>
              <w:t>в рабочие дни</w:t>
            </w:r>
          </w:p>
          <w:p>
            <w:pPr>
              <w:pStyle w:val="Style2"/>
              <w:keepNext w:val="0"/>
              <w:keepLines w:val="0"/>
              <w:widowControl w:val="0"/>
              <w:shd w:val="clear" w:color="auto" w:fill="auto"/>
              <w:bidi w:val="0"/>
              <w:spacing w:before="0" w:after="22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п.1 (305 рабочих дней)</w:t>
            </w:r>
          </w:p>
          <w:p>
            <w:pPr>
              <w:pStyle w:val="Style2"/>
              <w:keepNext w:val="0"/>
              <w:keepLines w:val="0"/>
              <w:widowControl w:val="0"/>
              <w:shd w:val="clear" w:color="auto" w:fill="auto"/>
              <w:bidi w:val="0"/>
              <w:spacing w:before="0" w:after="22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п.2 (51 рабочий день)</w:t>
            </w:r>
          </w:p>
        </w:tc>
      </w:tr>
      <w:tr>
        <w:trPr>
          <w:trHeight w:val="1104"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1</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Главный корпус СибГМУ</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Москов ский тракт, 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1 444, 90</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390,10</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972,90</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81,90</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76" w:lineRule="auto"/>
              <w:ind w:left="0" w:right="0" w:firstLine="0"/>
              <w:jc w:val="left"/>
              <w:rPr>
                <w:sz w:val="22"/>
                <w:szCs w:val="22"/>
              </w:rPr>
            </w:pPr>
            <w:r>
              <w:rPr>
                <w:color w:val="000000"/>
                <w:spacing w:val="0"/>
                <w:w w:val="100"/>
                <w:position w:val="0"/>
                <w:sz w:val="22"/>
                <w:szCs w:val="22"/>
                <w:shd w:val="clear" w:color="auto" w:fill="auto"/>
                <w:lang w:val="ru-RU" w:eastAsia="ru-RU" w:bidi="ru-RU"/>
              </w:rPr>
              <w:t>1 646,5 0</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3 091,40</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942 877,00</w:t>
            </w:r>
          </w:p>
        </w:tc>
      </w:tr>
      <w:tr>
        <w:trPr>
          <w:trHeight w:val="1877"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Главный корпус СибГМУ</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Москов ский тракт, 2</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329,30</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 xml:space="preserve">В воскресенье уборка производится 1 раз в день </w:t>
            </w:r>
            <w:r>
              <w:rPr>
                <w:color w:val="000000"/>
                <w:spacing w:val="0"/>
                <w:w w:val="100"/>
                <w:position w:val="0"/>
                <w:sz w:val="22"/>
                <w:szCs w:val="22"/>
                <w:shd w:val="clear" w:color="auto" w:fill="auto"/>
                <w:lang w:val="ru-RU" w:eastAsia="ru-RU" w:bidi="ru-RU"/>
              </w:rPr>
              <w:t>67,70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 xml:space="preserve">В воскресен ье уборка производи тся 1 раз в день </w:t>
            </w:r>
            <w:r>
              <w:rPr>
                <w:color w:val="000000"/>
                <w:spacing w:val="0"/>
                <w:w w:val="100"/>
                <w:position w:val="0"/>
                <w:sz w:val="22"/>
                <w:szCs w:val="22"/>
                <w:shd w:val="clear" w:color="auto" w:fill="auto"/>
                <w:lang w:val="ru-RU" w:eastAsia="ru-RU" w:bidi="ru-RU"/>
              </w:rPr>
              <w:t>324,30 м</w:t>
            </w:r>
            <w:r>
              <w:rPr>
                <w:color w:val="000000"/>
                <w:spacing w:val="0"/>
                <w:w w:val="100"/>
                <w:position w:val="0"/>
                <w:sz w:val="22"/>
                <w:szCs w:val="22"/>
                <w:shd w:val="clear" w:color="auto" w:fill="auto"/>
                <w:vertAlign w:val="superscript"/>
                <w:lang w:val="ru-RU" w:eastAsia="ru-RU" w:bidi="ru-RU"/>
              </w:rPr>
              <w:t>2</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 xml:space="preserve">В воскресень е уборка производи тся 1 раз в день </w:t>
            </w:r>
            <w:r>
              <w:rPr>
                <w:color w:val="000000"/>
                <w:spacing w:val="0"/>
                <w:w w:val="100"/>
                <w:position w:val="0"/>
                <w:sz w:val="22"/>
                <w:szCs w:val="22"/>
                <w:shd w:val="clear" w:color="auto" w:fill="auto"/>
                <w:lang w:val="ru-RU" w:eastAsia="ru-RU" w:bidi="ru-RU"/>
              </w:rPr>
              <w:t>27,30 м</w:t>
            </w:r>
            <w:r>
              <w:rPr>
                <w:color w:val="000000"/>
                <w:spacing w:val="0"/>
                <w:w w:val="100"/>
                <w:position w:val="0"/>
                <w:sz w:val="22"/>
                <w:szCs w:val="22"/>
                <w:shd w:val="clear" w:color="auto" w:fill="auto"/>
                <w:vertAlign w:val="superscript"/>
                <w:lang w:val="ru-RU" w:eastAsia="ru-RU" w:bidi="ru-RU"/>
              </w:rPr>
              <w:t>2</w:t>
            </w:r>
          </w:p>
        </w:tc>
        <w:tc>
          <w:tcPr>
            <w:tcBorders>
              <w:top w:val="single" w:sz="4"/>
              <w:left w:val="single" w:sz="4"/>
            </w:tcBorders>
            <w:shd w:val="clear" w:color="auto" w:fill="auto"/>
            <w:vAlign w:val="center"/>
          </w:tcPr>
          <w:p>
            <w:pPr>
              <w:pStyle w:val="Style2"/>
              <w:keepNext w:val="0"/>
              <w:keepLines w:val="0"/>
              <w:widowControl w:val="0"/>
              <w:shd w:val="clear" w:color="auto" w:fill="auto"/>
              <w:tabs>
                <w:tab w:leader="underscore" w:pos="366" w:val="left"/>
              </w:tabs>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ab/>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329,30</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16 794,30</w:t>
            </w:r>
          </w:p>
        </w:tc>
      </w:tr>
      <w:tr>
        <w:trPr>
          <w:trHeight w:val="418" w:hRule="exact"/>
        </w:trPr>
        <w:tc>
          <w:tcPr>
            <w:gridSpan w:val="9"/>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Итого</w:t>
            </w:r>
          </w:p>
        </w:tc>
        <w:tc>
          <w:tcPr>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959 671.30</w:t>
            </w:r>
          </w:p>
        </w:tc>
      </w:tr>
    </w:tbl>
    <w:p>
      <w:pPr>
        <w:widowControl w:val="0"/>
        <w:spacing w:after="279" w:line="1" w:lineRule="exact"/>
      </w:pPr>
    </w:p>
    <w:p>
      <w:pPr>
        <w:pStyle w:val="Style16"/>
        <w:keepNext w:val="0"/>
        <w:keepLines w:val="0"/>
        <w:widowControl w:val="0"/>
        <w:shd w:val="clear" w:color="auto" w:fill="auto"/>
        <w:bidi w:val="0"/>
        <w:spacing w:before="0" w:after="0" w:line="240" w:lineRule="auto"/>
        <w:ind w:left="480" w:right="0" w:firstLine="620"/>
        <w:jc w:val="both"/>
      </w:pPr>
      <w:r>
        <w:rPr>
          <w:color w:val="000000"/>
          <w:spacing w:val="0"/>
          <w:w w:val="100"/>
          <w:position w:val="0"/>
          <w:shd w:val="clear" w:color="auto" w:fill="auto"/>
          <w:lang w:val="ru-RU" w:eastAsia="ru-RU" w:bidi="ru-RU"/>
        </w:rPr>
        <w:t>Согласно позиции КТРУ 81.21.10.000-00000006 Единицы измерения (количество товара, объем работы, услуги по ОКЕИ) - Квадратный метр.</w:t>
      </w:r>
    </w:p>
    <w:p>
      <w:pPr>
        <w:pStyle w:val="Style16"/>
        <w:keepNext w:val="0"/>
        <w:keepLines w:val="0"/>
        <w:widowControl w:val="0"/>
        <w:shd w:val="clear" w:color="auto" w:fill="auto"/>
        <w:bidi w:val="0"/>
        <w:spacing w:before="0" w:after="0" w:line="240" w:lineRule="auto"/>
        <w:ind w:left="480" w:right="0" w:firstLine="620"/>
        <w:jc w:val="both"/>
      </w:pPr>
      <w:r>
        <w:rPr>
          <w:color w:val="000000"/>
          <w:spacing w:val="0"/>
          <w:w w:val="100"/>
          <w:position w:val="0"/>
          <w:shd w:val="clear" w:color="auto" w:fill="auto"/>
          <w:lang w:val="ru-RU" w:eastAsia="ru-RU" w:bidi="ru-RU"/>
        </w:rPr>
        <w:t>На заседании Комиссии представитель Заказчика пояснил, что экспликация помещений предоставляется Победителю закупки при исполнении Контракта, а также могла быть направлена в случае наличия запроса на разъяснения по данному вопросу. При этом таких запросов не поступало.</w:t>
      </w:r>
    </w:p>
    <w:p>
      <w:pPr>
        <w:pStyle w:val="Style16"/>
        <w:keepNext w:val="0"/>
        <w:keepLines w:val="0"/>
        <w:widowControl w:val="0"/>
        <w:shd w:val="clear" w:color="auto" w:fill="auto"/>
        <w:bidi w:val="0"/>
        <w:spacing w:before="0" w:after="0" w:line="240" w:lineRule="auto"/>
        <w:ind w:left="480" w:right="0" w:firstLine="620"/>
        <w:jc w:val="both"/>
      </w:pPr>
      <w:r>
        <w:rPr>
          <w:color w:val="000000"/>
          <w:spacing w:val="0"/>
          <w:w w:val="100"/>
          <w:position w:val="0"/>
          <w:shd w:val="clear" w:color="auto" w:fill="auto"/>
          <w:lang w:val="ru-RU" w:eastAsia="ru-RU" w:bidi="ru-RU"/>
        </w:rPr>
        <w:t>Комиссия, изучив описание объекта закупки, установила, что заказчиком указаны конкретные адреса объектов и площади уборки в квадратных метрах, что соответствует позиции КТРУ и требованиям статьи 33 Закон о контрактной системе.</w:t>
      </w:r>
    </w:p>
    <w:p>
      <w:pPr>
        <w:pStyle w:val="Style16"/>
        <w:keepNext w:val="0"/>
        <w:keepLines w:val="0"/>
        <w:widowControl w:val="0"/>
        <w:shd w:val="clear" w:color="auto" w:fill="auto"/>
        <w:bidi w:val="0"/>
        <w:spacing w:before="0" w:after="0" w:line="240" w:lineRule="auto"/>
        <w:ind w:left="480" w:right="0" w:firstLine="620"/>
        <w:jc w:val="both"/>
      </w:pPr>
      <w:r>
        <w:rPr>
          <w:color w:val="000000"/>
          <w:spacing w:val="0"/>
          <w:w w:val="100"/>
          <w:position w:val="0"/>
          <w:shd w:val="clear" w:color="auto" w:fill="auto"/>
          <w:lang w:val="ru-RU" w:eastAsia="ru-RU" w:bidi="ru-RU"/>
        </w:rPr>
        <w:t>Таким образом, довод Заявителя в данной части является не состоятельным.</w:t>
      </w:r>
    </w:p>
    <w:p>
      <w:pPr>
        <w:pStyle w:val="Style16"/>
        <w:keepNext w:val="0"/>
        <w:keepLines w:val="0"/>
        <w:widowControl w:val="0"/>
        <w:shd w:val="clear" w:color="auto" w:fill="auto"/>
        <w:bidi w:val="0"/>
        <w:spacing w:before="0" w:after="0" w:line="240" w:lineRule="auto"/>
        <w:ind w:left="480" w:right="0" w:firstLine="620"/>
        <w:jc w:val="both"/>
      </w:pPr>
      <w:r>
        <w:rPr>
          <w:color w:val="000000"/>
          <w:spacing w:val="0"/>
          <w:w w:val="100"/>
          <w:position w:val="0"/>
          <w:shd w:val="clear" w:color="auto" w:fill="auto"/>
          <w:lang w:val="ru-RU" w:eastAsia="ru-RU" w:bidi="ru-RU"/>
        </w:rPr>
        <w:t>В части довода, согласно которому документация и проект контракта содержит нарушение требования законодательства об установлении этапов исполнения контракта, Комиссией Управления установлено следующее:</w:t>
      </w:r>
    </w:p>
    <w:p>
      <w:pPr>
        <w:pStyle w:val="Style16"/>
        <w:keepNext w:val="0"/>
        <w:keepLines w:val="0"/>
        <w:widowControl w:val="0"/>
        <w:shd w:val="clear" w:color="auto" w:fill="auto"/>
        <w:bidi w:val="0"/>
        <w:spacing w:before="0" w:after="0" w:line="240" w:lineRule="auto"/>
        <w:ind w:left="480" w:right="0" w:firstLine="620"/>
        <w:jc w:val="both"/>
      </w:pPr>
      <w:r>
        <w:rPr>
          <w:color w:val="000000"/>
          <w:spacing w:val="0"/>
          <w:w w:val="100"/>
          <w:position w:val="0"/>
          <w:shd w:val="clear" w:color="auto" w:fill="auto"/>
          <w:lang w:val="ru-RU" w:eastAsia="ru-RU" w:bidi="ru-RU"/>
        </w:rPr>
        <w:t>Согласно пункта 8 статьи 42 Закона о контрактной системе извещение об осуществлении закупки должно содержать в частности следующую информацию:</w:t>
      </w:r>
    </w:p>
    <w:p>
      <w:pPr>
        <w:pStyle w:val="Style16"/>
        <w:keepNext w:val="0"/>
        <w:keepLines w:val="0"/>
        <w:widowControl w:val="0"/>
        <w:shd w:val="clear" w:color="auto" w:fill="auto"/>
        <w:bidi w:val="0"/>
        <w:spacing w:before="0" w:after="0" w:line="240" w:lineRule="auto"/>
        <w:ind w:left="480" w:right="0" w:firstLine="620"/>
        <w:jc w:val="both"/>
        <w:sectPr>
          <w:footnotePr>
            <w:pos w:val="pageBottom"/>
            <w:numFmt w:val="decimal"/>
            <w:numRestart w:val="continuous"/>
          </w:footnotePr>
          <w:type w:val="continuous"/>
          <w:pgSz w:w="11900" w:h="16840"/>
          <w:pgMar w:top="770" w:right="396" w:bottom="710" w:left="732" w:header="0" w:footer="3" w:gutter="0"/>
          <w:cols w:space="720"/>
          <w:noEndnote/>
          <w:rtlGutter w:val="0"/>
          <w:docGrid w:linePitch="360"/>
        </w:sectPr>
      </w:pPr>
      <w:r>
        <w:rPr>
          <w:color w:val="000000"/>
          <w:spacing w:val="0"/>
          <w:w w:val="100"/>
          <w:position w:val="0"/>
          <w:shd w:val="clear" w:color="auto" w:fill="auto"/>
          <w:lang w:val="ru-RU" w:eastAsia="ru-RU" w:bidi="ru-RU"/>
        </w:rPr>
        <w:t>- срок исполнения контракта (отдельных этапов исполнения контракта, если проектом контракта предусмотрены такие этапы).</w:t>
      </w:r>
    </w:p>
    <w:p>
      <w:pPr>
        <w:pStyle w:val="Style16"/>
        <w:keepNext w:val="0"/>
        <w:keepLines w:val="0"/>
        <w:widowControl w:val="0"/>
        <w:shd w:val="clear" w:color="auto" w:fill="auto"/>
        <w:bidi w:val="0"/>
        <w:spacing w:before="0" w:after="0" w:line="240" w:lineRule="auto"/>
        <w:ind w:left="520" w:right="0" w:firstLine="140"/>
        <w:jc w:val="both"/>
      </w:pPr>
      <w:r>
        <w:rPr>
          <w:color w:val="000000"/>
          <w:spacing w:val="0"/>
          <w:w w:val="100"/>
          <w:position w:val="0"/>
          <w:shd w:val="clear" w:color="auto" w:fill="auto"/>
          <w:lang w:val="ru-RU" w:eastAsia="ru-RU" w:bidi="ru-RU"/>
        </w:rPr>
        <w:t>В извещении о проведении Аукциона установлено, что срок исполнения контракта: с 01.01.2024 по 31.12.2024 гг</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Также определена этапность:</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1.этап 01.01.2024-31.01.2024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2 этап 01.02.2024 - 29.02.2024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3 этап 01.03.2024 - 31.03.2024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4 этап 01.04.2024 - 30.04.2024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5 этап 01.05.2024 - 31.05.2024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6 этап 01.06.2024 - 30.06.2024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7 этап 01.07.2024 - 31.07.2024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8 этап 0108.2024 - 31.08.2024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9 этап 01.09.2024 - 30.09.2024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10 этап 01.10.2024 - 31.10.2024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11 этап 01.11.2024 - 30.11.2024</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12 этап 01.12.2024 - 31.12.2024</w:t>
      </w:r>
    </w:p>
    <w:p>
      <w:pPr>
        <w:pStyle w:val="Style16"/>
        <w:keepNext w:val="0"/>
        <w:keepLines w:val="0"/>
        <w:widowControl w:val="0"/>
        <w:shd w:val="clear" w:color="auto" w:fill="auto"/>
        <w:bidi w:val="0"/>
        <w:spacing w:before="0" w:after="0" w:line="240" w:lineRule="auto"/>
        <w:ind w:left="520" w:right="0" w:firstLine="580"/>
        <w:jc w:val="both"/>
      </w:pPr>
      <w:r>
        <w:rPr>
          <w:color w:val="000000"/>
          <w:spacing w:val="0"/>
          <w:w w:val="100"/>
          <w:position w:val="0"/>
          <w:shd w:val="clear" w:color="auto" w:fill="auto"/>
          <w:lang w:val="ru-RU" w:eastAsia="ru-RU" w:bidi="ru-RU"/>
        </w:rPr>
        <w:t>Согласно пункту 2.4 проекта Контракта оплата за оказанные услуги осуществляется Заказчиком ежемесячно в течение 7 (семи) рабочих с даты подписания Заказчиком документа о приемке.</w:t>
      </w:r>
    </w:p>
    <w:p>
      <w:pPr>
        <w:pStyle w:val="Style16"/>
        <w:keepNext w:val="0"/>
        <w:keepLines w:val="0"/>
        <w:widowControl w:val="0"/>
        <w:shd w:val="clear" w:color="auto" w:fill="auto"/>
        <w:bidi w:val="0"/>
        <w:spacing w:before="0" w:after="0" w:line="240" w:lineRule="auto"/>
        <w:ind w:left="520" w:right="0" w:firstLine="580"/>
        <w:jc w:val="both"/>
      </w:pPr>
      <w:r>
        <w:rPr>
          <w:color w:val="000000"/>
          <w:spacing w:val="0"/>
          <w:w w:val="100"/>
          <w:position w:val="0"/>
          <w:shd w:val="clear" w:color="auto" w:fill="auto"/>
          <w:lang w:val="ru-RU" w:eastAsia="ru-RU" w:bidi="ru-RU"/>
        </w:rPr>
        <w:t>При этом Комиссия Управления отмечает, что предметом рассматриваемой закупки является услуга. Согласно статье 783 ГК РФ общие положения о подряде (статьи 702 - 729) и положения о бытовом подряде (статьи 730 - 739) применяются к договору возмездного оказания услуг, если это не противоречит статьям 779 - 782 настоящего Кодекса, а также особенностям предмета договора возмездного оказания услуг.</w:t>
      </w:r>
    </w:p>
    <w:p>
      <w:pPr>
        <w:pStyle w:val="Style16"/>
        <w:keepNext w:val="0"/>
        <w:keepLines w:val="0"/>
        <w:widowControl w:val="0"/>
        <w:shd w:val="clear" w:color="auto" w:fill="auto"/>
        <w:bidi w:val="0"/>
        <w:spacing w:before="0" w:after="0" w:line="240" w:lineRule="auto"/>
        <w:ind w:left="520" w:right="0" w:firstLine="720"/>
        <w:jc w:val="both"/>
      </w:pPr>
      <w:r>
        <w:rPr>
          <w:color w:val="000000"/>
          <w:spacing w:val="0"/>
          <w:w w:val="100"/>
          <w:position w:val="0"/>
          <w:shd w:val="clear" w:color="auto" w:fill="auto"/>
          <w:lang w:val="ru-RU" w:eastAsia="ru-RU" w:bidi="ru-RU"/>
        </w:rPr>
        <w:t>Согласно Приложению № 1 к проекту Контракта Исполнитель, на период оказания услуг, обеспечивает наполнение диспенсеров и дозаторов расходными материалами, исходя из потребности, указанной в Приложении 3. Также Исполнитель обязан предоставлять все расходные материалы ежемесячно в срок до 5 (пятого) числа каждого месяца, за исключением января, за январь месяц 2024 г. Исполнитель обязан предоставить все расходные материалы сроком до 25.12.2023 г. на склад представителя Заказчика, расположенный по адресам: г. Томск, Московский тракт 2 стр.10, г. Томск, Московский тракт, 2 стр. 8. Расходные материалы и моющее средства входят в расчет стоимости контракта.</w:t>
      </w:r>
    </w:p>
    <w:p>
      <w:pPr>
        <w:pStyle w:val="Style16"/>
        <w:keepNext w:val="0"/>
        <w:keepLines w:val="0"/>
        <w:widowControl w:val="0"/>
        <w:shd w:val="clear" w:color="auto" w:fill="auto"/>
        <w:bidi w:val="0"/>
        <w:spacing w:before="0" w:after="0" w:line="240" w:lineRule="auto"/>
        <w:ind w:left="520" w:right="0" w:firstLine="580"/>
        <w:jc w:val="both"/>
      </w:pPr>
      <w:r>
        <w:rPr>
          <w:color w:val="000000"/>
          <w:spacing w:val="0"/>
          <w:w w:val="100"/>
          <w:position w:val="0"/>
          <w:shd w:val="clear" w:color="auto" w:fill="auto"/>
          <w:lang w:val="ru-RU" w:eastAsia="ru-RU" w:bidi="ru-RU"/>
        </w:rPr>
        <w:t>В соответствии с пунктом 1 статьи 704 ГК РФ если иное не предусмотрено договором подряда, работа выполняется иждивением подрядчика - из его материалов, его силами и средствами.</w:t>
      </w:r>
    </w:p>
    <w:p>
      <w:pPr>
        <w:pStyle w:val="Style16"/>
        <w:keepNext w:val="0"/>
        <w:keepLines w:val="0"/>
        <w:widowControl w:val="0"/>
        <w:shd w:val="clear" w:color="auto" w:fill="auto"/>
        <w:bidi w:val="0"/>
        <w:spacing w:before="0" w:after="0" w:line="240" w:lineRule="auto"/>
        <w:ind w:left="520" w:right="0" w:firstLine="580"/>
        <w:jc w:val="both"/>
      </w:pPr>
      <w:r>
        <w:rPr>
          <w:color w:val="000000"/>
          <w:spacing w:val="0"/>
          <w:w w:val="100"/>
          <w:position w:val="0"/>
          <w:shd w:val="clear" w:color="auto" w:fill="auto"/>
          <w:lang w:val="ru-RU" w:eastAsia="ru-RU" w:bidi="ru-RU"/>
        </w:rPr>
        <w:t xml:space="preserve">Таким образом, расходные материалы являются </w:t>
      </w:r>
      <w:r>
        <w:rPr>
          <w:i/>
          <w:iCs/>
          <w:color w:val="000000"/>
          <w:spacing w:val="0"/>
          <w:w w:val="100"/>
          <w:position w:val="0"/>
          <w:shd w:val="clear" w:color="auto" w:fill="auto"/>
          <w:lang w:val="ru-RU" w:eastAsia="ru-RU" w:bidi="ru-RU"/>
        </w:rPr>
        <w:t>используемыми в рамках оказания услуги товаром</w:t>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520" w:right="0" w:firstLine="580"/>
        <w:jc w:val="both"/>
      </w:pPr>
      <w:r>
        <w:rPr>
          <w:color w:val="000000"/>
          <w:spacing w:val="0"/>
          <w:w w:val="100"/>
          <w:position w:val="0"/>
          <w:shd w:val="clear" w:color="auto" w:fill="auto"/>
          <w:lang w:val="ru-RU" w:eastAsia="ru-RU" w:bidi="ru-RU"/>
        </w:rPr>
        <w:t>Таким образом, довод жалобы в части нарушения требований законодательства об установлении этапов исполнения контракта, а именно, в не включении стоимости за используемые расходные материалы в стоимость этапа контракта не состоятелен.</w:t>
      </w:r>
    </w:p>
    <w:p>
      <w:pPr>
        <w:pStyle w:val="Style16"/>
        <w:keepNext w:val="0"/>
        <w:keepLines w:val="0"/>
        <w:widowControl w:val="0"/>
        <w:shd w:val="clear" w:color="auto" w:fill="auto"/>
        <w:bidi w:val="0"/>
        <w:spacing w:before="0" w:after="0" w:line="302" w:lineRule="auto"/>
        <w:ind w:left="520" w:right="0" w:firstLine="580"/>
        <w:jc w:val="both"/>
        <w:rPr>
          <w:sz w:val="24"/>
          <w:szCs w:val="24"/>
        </w:rPr>
        <w:sectPr>
          <w:headerReference w:type="default" r:id="rId9"/>
          <w:footerReference w:type="default" r:id="rId10"/>
          <w:footnotePr>
            <w:pos w:val="pageBottom"/>
            <w:numFmt w:val="decimal"/>
            <w:numRestart w:val="continuous"/>
          </w:footnotePr>
          <w:pgSz w:w="11900" w:h="16840"/>
          <w:pgMar w:top="1666" w:right="531" w:bottom="764" w:left="598" w:header="0" w:footer="336"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части довода касаемо наличия в аукционной документации условия предоставления инструмента/инвентаря во временное пользование Заказчика, что </w:t>
      </w:r>
      <w:r>
        <w:rPr>
          <w:color w:val="000000"/>
          <w:spacing w:val="0"/>
          <w:w w:val="100"/>
          <w:position w:val="0"/>
          <w:sz w:val="24"/>
          <w:szCs w:val="24"/>
          <w:shd w:val="clear" w:color="auto" w:fill="auto"/>
          <w:lang w:val="ru-RU" w:eastAsia="ru-RU" w:bidi="ru-RU"/>
        </w:rPr>
        <w:t>2023-8765</w:t>
      </w:r>
    </w:p>
    <w:p>
      <w:pPr>
        <w:pStyle w:val="Style16"/>
        <w:keepNext w:val="0"/>
        <w:keepLines w:val="0"/>
        <w:widowControl w:val="0"/>
        <w:shd w:val="clear" w:color="auto" w:fill="auto"/>
        <w:bidi w:val="0"/>
        <w:spacing w:before="0" w:after="0" w:line="240" w:lineRule="auto"/>
        <w:ind w:left="520" w:right="0" w:firstLine="0"/>
        <w:jc w:val="both"/>
      </w:pPr>
      <w:r>
        <w:rPr>
          <w:color w:val="000000"/>
          <w:spacing w:val="0"/>
          <w:w w:val="100"/>
          <w:position w:val="0"/>
          <w:shd w:val="clear" w:color="auto" w:fill="auto"/>
          <w:lang w:val="ru-RU" w:eastAsia="ru-RU" w:bidi="ru-RU"/>
        </w:rPr>
        <w:t>нарушает требования части 3 статьи 33 Закона о контрактной системе, Комиссией Томского УФАС России установлено следующее:</w:t>
      </w:r>
    </w:p>
    <w:p>
      <w:pPr>
        <w:pStyle w:val="Style16"/>
        <w:keepNext w:val="0"/>
        <w:keepLines w:val="0"/>
        <w:widowControl w:val="0"/>
        <w:shd w:val="clear" w:color="auto" w:fill="auto"/>
        <w:bidi w:val="0"/>
        <w:spacing w:before="0" w:after="0" w:line="240" w:lineRule="auto"/>
        <w:ind w:left="520" w:right="0" w:firstLine="600"/>
        <w:jc w:val="both"/>
      </w:pPr>
      <w:r>
        <w:rPr>
          <w:color w:val="000000"/>
          <w:spacing w:val="0"/>
          <w:w w:val="100"/>
          <w:position w:val="0"/>
          <w:shd w:val="clear" w:color="auto" w:fill="auto"/>
          <w:lang w:val="ru-RU" w:eastAsia="ru-RU" w:bidi="ru-RU"/>
        </w:rPr>
        <w:t>Согласно пункту 2.2.3 Контракта Исполнитель обязан предоставить на время действия контракта специальную технику для уборки: поломоечная машина с насадкой для шлифовки каменного пола и моющий пылесос.</w:t>
      </w:r>
    </w:p>
    <w:p>
      <w:pPr>
        <w:pStyle w:val="Style16"/>
        <w:keepNext w:val="0"/>
        <w:keepLines w:val="0"/>
        <w:widowControl w:val="0"/>
        <w:shd w:val="clear" w:color="auto" w:fill="auto"/>
        <w:bidi w:val="0"/>
        <w:spacing w:before="0" w:after="0" w:line="240" w:lineRule="auto"/>
        <w:ind w:left="520" w:right="0" w:firstLine="600"/>
        <w:jc w:val="both"/>
      </w:pPr>
      <w:r>
        <w:rPr>
          <w:color w:val="000000"/>
          <w:spacing w:val="0"/>
          <w:w w:val="100"/>
          <w:position w:val="0"/>
          <w:shd w:val="clear" w:color="auto" w:fill="auto"/>
          <w:lang w:val="ru-RU" w:eastAsia="ru-RU" w:bidi="ru-RU"/>
        </w:rPr>
        <w:t>В пункте 2.11 проекта Контракта указано, что мытье пола должны проводить с использованием технологий (на усмотрение Исполнителя), обеспечивающих минимальное увлажнение пола. Необходимо использование различных сменных мопов (насадок на швабры) для разных видов уборки (мытье, влажная протирка, сухая протирка) и для различного вида пола (паркет, камень, плитка, дерево). При оказании услуг по уборке пола должны использоваться предупреждающие пластиковые знаки «Осторожно скользкий пол», которые предоставляет Исполнитель на все время оказания услуг по контракту.</w:t>
      </w:r>
    </w:p>
    <w:p>
      <w:pPr>
        <w:pStyle w:val="Style16"/>
        <w:keepNext w:val="0"/>
        <w:keepLines w:val="0"/>
        <w:widowControl w:val="0"/>
        <w:shd w:val="clear" w:color="auto" w:fill="auto"/>
        <w:bidi w:val="0"/>
        <w:spacing w:before="0" w:after="0" w:line="240" w:lineRule="auto"/>
        <w:ind w:left="520" w:right="0" w:firstLine="720"/>
        <w:jc w:val="both"/>
      </w:pPr>
      <w:r>
        <w:rPr>
          <w:color w:val="000000"/>
          <w:spacing w:val="0"/>
          <w:w w:val="100"/>
          <w:position w:val="0"/>
          <w:shd w:val="clear" w:color="auto" w:fill="auto"/>
          <w:lang w:val="ru-RU" w:eastAsia="ru-RU" w:bidi="ru-RU"/>
        </w:rPr>
        <w:t>При этом в контракте указано, Исполнитель обязан предоставить во временное пользование мопы в количестве 10 шт. не менее 50 см. и насадки на мопы разных цветов (для уборки входных зон, туалетов, кабинетов) в количестве 30 шт. не менее 50 см., диспенсеры и коврики.</w:t>
      </w:r>
    </w:p>
    <w:p>
      <w:pPr>
        <w:pStyle w:val="Style16"/>
        <w:keepNext w:val="0"/>
        <w:keepLines w:val="0"/>
        <w:widowControl w:val="0"/>
        <w:shd w:val="clear" w:color="auto" w:fill="auto"/>
        <w:bidi w:val="0"/>
        <w:spacing w:before="0" w:after="0" w:line="240" w:lineRule="auto"/>
        <w:ind w:left="520" w:right="0" w:firstLine="600"/>
        <w:jc w:val="both"/>
      </w:pPr>
      <w:r>
        <w:rPr>
          <w:color w:val="000000"/>
          <w:spacing w:val="0"/>
          <w:w w:val="100"/>
          <w:position w:val="0"/>
          <w:shd w:val="clear" w:color="auto" w:fill="auto"/>
          <w:lang w:val="ru-RU" w:eastAsia="ru-RU" w:bidi="ru-RU"/>
        </w:rPr>
        <w:t>Пунктом 2.22. описания объекта закупки установлено, что исполнитель, на период оказания услуг, обеспечивает наполнение диспенсеров и дозаторов расходными материалами, исходя из потребности, указанной в Приложении 3. Исполнитель обязан предоставлять все расходные материалы ежемесячно в срок до 5 (пятого) числа каждого месяца, за исключением января, за январь месяц 2024 г. Исполнитель обязан предоставить все расходные материалы сроком до 25.12.2023 г. на склад представителя Заказчика, расположенный по адресам: г. Томск, Московский тракт 2 стр.10, г. Томск, Московский тракт, 2 стр. 8. Расходные материалы и моющее средства входят в расчет стоимости контракта.</w:t>
      </w:r>
    </w:p>
    <w:p>
      <w:pPr>
        <w:pStyle w:val="Style16"/>
        <w:keepNext w:val="0"/>
        <w:keepLines w:val="0"/>
        <w:widowControl w:val="0"/>
        <w:shd w:val="clear" w:color="auto" w:fill="auto"/>
        <w:bidi w:val="0"/>
        <w:spacing w:before="0" w:after="0" w:line="240" w:lineRule="auto"/>
        <w:ind w:left="520" w:right="0" w:firstLine="600"/>
        <w:jc w:val="both"/>
      </w:pPr>
      <w:r>
        <w:rPr>
          <w:color w:val="000000"/>
          <w:spacing w:val="0"/>
          <w:w w:val="100"/>
          <w:position w:val="0"/>
          <w:shd w:val="clear" w:color="auto" w:fill="auto"/>
          <w:lang w:val="ru-RU" w:eastAsia="ru-RU" w:bidi="ru-RU"/>
        </w:rPr>
        <w:t>Комиссией установлено, что расходные материалы в силу описания объекта закупки не требуется передавать на баланс Заказчика. Указанные материалы необходимы для обеспечения контроля за оказанием услуги и использованием их в ходе исполнения контракта.</w:t>
      </w:r>
    </w:p>
    <w:p>
      <w:pPr>
        <w:pStyle w:val="Style16"/>
        <w:keepNext w:val="0"/>
        <w:keepLines w:val="0"/>
        <w:widowControl w:val="0"/>
        <w:shd w:val="clear" w:color="auto" w:fill="auto"/>
        <w:bidi w:val="0"/>
        <w:spacing w:before="0" w:after="0" w:line="240" w:lineRule="auto"/>
        <w:ind w:left="520" w:right="0" w:firstLine="860"/>
        <w:jc w:val="both"/>
      </w:pPr>
      <w:r>
        <w:rPr>
          <w:color w:val="000000"/>
          <w:spacing w:val="0"/>
          <w:w w:val="100"/>
          <w:position w:val="0"/>
          <w:shd w:val="clear" w:color="auto" w:fill="auto"/>
          <w:lang w:val="ru-RU" w:eastAsia="ru-RU" w:bidi="ru-RU"/>
        </w:rPr>
        <w:t>Вместе с тем, Комиссия Управления отмечает, что в рамках проводимого аукциона осуществляется закупка услуги по уборке социально важного объекта, помещений ФГБОУ ВО СибГМУ Минздрава России (в части помещений расположены клиники, в которых осуществляется лечение пациентов).</w:t>
      </w:r>
    </w:p>
    <w:p>
      <w:pPr>
        <w:pStyle w:val="Style16"/>
        <w:keepNext w:val="0"/>
        <w:keepLines w:val="0"/>
        <w:widowControl w:val="0"/>
        <w:shd w:val="clear" w:color="auto" w:fill="auto"/>
        <w:bidi w:val="0"/>
        <w:spacing w:before="0" w:after="0" w:line="240" w:lineRule="auto"/>
        <w:ind w:left="520" w:right="0" w:firstLine="860"/>
        <w:jc w:val="both"/>
      </w:pPr>
      <w:r>
        <w:rPr>
          <w:color w:val="000000"/>
          <w:spacing w:val="0"/>
          <w:w w:val="100"/>
          <w:position w:val="0"/>
          <w:shd w:val="clear" w:color="auto" w:fill="auto"/>
          <w:lang w:val="ru-RU" w:eastAsia="ru-RU" w:bidi="ru-RU"/>
        </w:rPr>
        <w:t>Таким образом, формирование объекта закупки обусловлено потребностью Заказчика и не нарушает требования закона о контрактной системе.</w:t>
      </w:r>
    </w:p>
    <w:p>
      <w:pPr>
        <w:pStyle w:val="Style16"/>
        <w:keepNext w:val="0"/>
        <w:keepLines w:val="0"/>
        <w:widowControl w:val="0"/>
        <w:shd w:val="clear" w:color="auto" w:fill="auto"/>
        <w:bidi w:val="0"/>
        <w:spacing w:before="0" w:after="0" w:line="240" w:lineRule="auto"/>
        <w:ind w:left="520" w:right="0" w:firstLine="720"/>
        <w:jc w:val="both"/>
      </w:pPr>
      <w:r>
        <w:rPr>
          <w:color w:val="000000"/>
          <w:spacing w:val="0"/>
          <w:w w:val="100"/>
          <w:position w:val="0"/>
          <w:shd w:val="clear" w:color="auto" w:fill="auto"/>
          <w:lang w:val="ru-RU" w:eastAsia="ru-RU" w:bidi="ru-RU"/>
        </w:rPr>
        <w:t>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постановлением Президиума Верховного Суда Российской Федерации от 28.06.2017,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w:t>
        <w:br w:type="page"/>
      </w:r>
      <w:r>
        <w:rPr>
          <w:color w:val="000000"/>
          <w:spacing w:val="0"/>
          <w:w w:val="100"/>
          <w:position w:val="0"/>
          <w:shd w:val="clear" w:color="auto" w:fill="auto"/>
          <w:lang w:val="ru-RU" w:eastAsia="ru-RU" w:bidi="ru-RU"/>
        </w:rPr>
        <w:t>использования такого товара, не может рассматриваться как ограничение круга потенциальных участников закупки.</w:t>
      </w:r>
    </w:p>
    <w:p>
      <w:pPr>
        <w:pStyle w:val="Style16"/>
        <w:keepNext w:val="0"/>
        <w:keepLines w:val="0"/>
        <w:widowControl w:val="0"/>
        <w:shd w:val="clear" w:color="auto" w:fill="auto"/>
        <w:bidi w:val="0"/>
        <w:spacing w:before="0" w:after="0" w:line="240" w:lineRule="auto"/>
        <w:ind w:left="520" w:right="0" w:firstLine="860"/>
        <w:jc w:val="both"/>
      </w:pPr>
      <w:r>
        <w:rPr>
          <w:color w:val="000000"/>
          <w:spacing w:val="0"/>
          <w:w w:val="100"/>
          <w:position w:val="0"/>
          <w:shd w:val="clear" w:color="auto" w:fill="auto"/>
          <w:lang w:val="ru-RU" w:eastAsia="ru-RU" w:bidi="ru-RU"/>
        </w:rPr>
        <w:t>На участие в закупке подано 6 заявок, в том числе заявка Подателя жалобы, цена контракта, предложенная победителем составила 60,0 % от НМЦК закупки.</w:t>
      </w:r>
    </w:p>
    <w:p>
      <w:pPr>
        <w:pStyle w:val="Style16"/>
        <w:keepNext w:val="0"/>
        <w:keepLines w:val="0"/>
        <w:widowControl w:val="0"/>
        <w:shd w:val="clear" w:color="auto" w:fill="auto"/>
        <w:bidi w:val="0"/>
        <w:spacing w:before="0" w:after="80" w:line="240" w:lineRule="auto"/>
        <w:ind w:left="520" w:right="0" w:firstLine="720"/>
        <w:jc w:val="both"/>
      </w:pPr>
      <w:r>
        <w:rPr>
          <w:color w:val="000000"/>
          <w:spacing w:val="0"/>
          <w:w w:val="100"/>
          <w:position w:val="0"/>
          <w:shd w:val="clear" w:color="auto" w:fill="auto"/>
          <w:lang w:val="ru-RU" w:eastAsia="ru-RU" w:bidi="ru-RU"/>
        </w:rPr>
        <w:t>С учетом изложенного, на основе всестороннего исследования, оценки конкретных фактических обстоятельств, установленных на заседании и доказательств по делу в их совокупности и взаимосвязи Комиссия приходит к выводу о необоснованности жалобы.</w:t>
      </w:r>
    </w:p>
    <w:p>
      <w:pPr>
        <w:pStyle w:val="Style16"/>
        <w:keepNext w:val="0"/>
        <w:keepLines w:val="0"/>
        <w:widowControl w:val="0"/>
        <w:shd w:val="clear" w:color="auto" w:fill="auto"/>
        <w:bidi w:val="0"/>
        <w:spacing w:before="0" w:after="520" w:line="240" w:lineRule="auto"/>
        <w:ind w:left="520" w:right="0" w:firstLine="720"/>
        <w:jc w:val="both"/>
      </w:pPr>
      <w:r>
        <w:rPr>
          <w:color w:val="000000"/>
          <w:spacing w:val="0"/>
          <w:w w:val="100"/>
          <w:position w:val="0"/>
          <w:shd w:val="clear" w:color="auto" w:fill="auto"/>
          <w:lang w:val="ru-RU" w:eastAsia="ru-RU" w:bidi="ru-RU"/>
        </w:rPr>
        <w:t>Комиссия Томского УФАС, руководствуясь статьей 99, 105, 106 Закона о контрактной системе,</w:t>
      </w:r>
    </w:p>
    <w:p>
      <w:pPr>
        <w:pStyle w:val="Style16"/>
        <w:keepNext w:val="0"/>
        <w:keepLines w:val="0"/>
        <w:widowControl w:val="0"/>
        <w:shd w:val="clear" w:color="auto" w:fill="auto"/>
        <w:bidi w:val="0"/>
        <w:spacing w:before="0" w:after="520" w:line="240" w:lineRule="auto"/>
        <w:ind w:left="5160" w:right="0" w:firstLine="0"/>
        <w:jc w:val="both"/>
      </w:pPr>
      <w:r>
        <w:rPr>
          <w:color w:val="000000"/>
          <w:spacing w:val="0"/>
          <w:w w:val="100"/>
          <w:position w:val="0"/>
          <w:shd w:val="clear" w:color="auto" w:fill="auto"/>
          <w:lang w:val="ru-RU" w:eastAsia="ru-RU" w:bidi="ru-RU"/>
        </w:rPr>
        <w:t>Р Е Ш И Л А:</w:t>
      </w:r>
    </w:p>
    <w:p>
      <w:pPr>
        <w:pStyle w:val="Style16"/>
        <w:keepNext w:val="0"/>
        <w:keepLines w:val="0"/>
        <w:widowControl w:val="0"/>
        <w:numPr>
          <w:ilvl w:val="0"/>
          <w:numId w:val="7"/>
        </w:numPr>
        <w:shd w:val="clear" w:color="auto" w:fill="auto"/>
        <w:tabs>
          <w:tab w:pos="1613" w:val="left"/>
        </w:tabs>
        <w:bidi w:val="0"/>
        <w:spacing w:before="0" w:after="0" w:line="240" w:lineRule="auto"/>
        <w:ind w:left="520" w:right="0" w:firstLine="720"/>
        <w:jc w:val="both"/>
      </w:pPr>
      <w:r>
        <w:rPr>
          <w:color w:val="000000"/>
          <w:spacing w:val="0"/>
          <w:w w:val="100"/>
          <w:position w:val="0"/>
          <w:shd w:val="clear" w:color="auto" w:fill="auto"/>
          <w:lang w:val="ru-RU" w:eastAsia="ru-RU" w:bidi="ru-RU"/>
        </w:rPr>
        <w:t>Признать жалобу ООО «Бизнес-Плюс» на действия ФГОБУ ВО «СибГМУ» при осуществлении закупки в форме электронного аукциона «Услуги по уборке помещений №1» (извещение № 0365100014823000681) необоснованной.</w:t>
      </w:r>
    </w:p>
    <w:p>
      <w:pPr>
        <w:pStyle w:val="Style16"/>
        <w:keepNext w:val="0"/>
        <w:keepLines w:val="0"/>
        <w:widowControl w:val="0"/>
        <w:numPr>
          <w:ilvl w:val="0"/>
          <w:numId w:val="7"/>
        </w:numPr>
        <w:shd w:val="clear" w:color="auto" w:fill="auto"/>
        <w:tabs>
          <w:tab w:pos="1613" w:val="left"/>
        </w:tabs>
        <w:bidi w:val="0"/>
        <w:spacing w:before="0" w:after="0" w:line="240" w:lineRule="auto"/>
        <w:ind w:left="520" w:right="0" w:firstLine="720"/>
        <w:jc w:val="both"/>
      </w:pPr>
      <w:r>
        <w:rPr>
          <w:color w:val="000000"/>
          <w:spacing w:val="0"/>
          <w:w w:val="100"/>
          <w:position w:val="0"/>
          <w:shd w:val="clear" w:color="auto" w:fill="auto"/>
          <w:lang w:val="ru-RU" w:eastAsia="ru-RU" w:bidi="ru-RU"/>
        </w:rPr>
        <w:t>В действиях Заказчика нарушений Закона о контрактной системе не выявлено.</w:t>
      </w:r>
    </w:p>
    <w:p>
      <w:pPr>
        <w:pStyle w:val="Style16"/>
        <w:keepNext w:val="0"/>
        <w:keepLines w:val="0"/>
        <w:widowControl w:val="0"/>
        <w:numPr>
          <w:ilvl w:val="0"/>
          <w:numId w:val="7"/>
        </w:numPr>
        <w:shd w:val="clear" w:color="auto" w:fill="auto"/>
        <w:tabs>
          <w:tab w:pos="2243" w:val="left"/>
        </w:tabs>
        <w:bidi w:val="0"/>
        <w:spacing w:before="0" w:after="280" w:line="240" w:lineRule="auto"/>
        <w:ind w:left="1240" w:right="0" w:firstLine="0"/>
        <w:jc w:val="both"/>
      </w:pPr>
      <w:r>
        <w:rPr>
          <w:color w:val="000000"/>
          <w:spacing w:val="0"/>
          <w:w w:val="100"/>
          <w:position w:val="0"/>
          <w:shd w:val="clear" w:color="auto" w:fill="auto"/>
          <w:lang w:val="ru-RU" w:eastAsia="ru-RU" w:bidi="ru-RU"/>
        </w:rPr>
        <w:t>Предписание не выдавать.</w:t>
      </w:r>
    </w:p>
    <w:p>
      <w:pPr>
        <w:pStyle w:val="Style16"/>
        <w:keepNext w:val="0"/>
        <w:keepLines w:val="0"/>
        <w:widowControl w:val="0"/>
        <w:shd w:val="clear" w:color="auto" w:fill="auto"/>
        <w:bidi w:val="0"/>
        <w:spacing w:before="0" w:after="0" w:line="240" w:lineRule="auto"/>
        <w:ind w:left="1240" w:right="0" w:firstLine="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w:t>
      </w:r>
    </w:p>
    <w:p>
      <w:pPr>
        <w:pStyle w:val="Style16"/>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трех месяцев в установленном законом порядке.</w:t>
      </w:r>
    </w:p>
    <w:p>
      <w:pPr>
        <w:widowControl w:val="0"/>
        <w:spacing w:line="1" w:lineRule="exact"/>
        <w:sectPr>
          <w:headerReference w:type="default" r:id="rId11"/>
          <w:footerReference w:type="default" r:id="rId12"/>
          <w:footnotePr>
            <w:pos w:val="pageBottom"/>
            <w:numFmt w:val="decimal"/>
            <w:numRestart w:val="continuous"/>
          </w:footnotePr>
          <w:pgSz w:w="11900" w:h="16840"/>
          <w:pgMar w:top="1666" w:right="531" w:bottom="1575" w:left="598" w:header="0" w:footer="3" w:gutter="0"/>
          <w:cols w:space="720"/>
          <w:noEndnote/>
          <w:rtlGutter w:val="0"/>
          <w:docGrid w:linePitch="360"/>
        </w:sectPr>
      </w:pPr>
      <w:r>
        <mc:AlternateContent>
          <mc:Choice Requires="wps">
            <w:drawing>
              <wp:anchor distT="42545" distB="688975" distL="0" distR="0" simplePos="0" relativeHeight="125829380" behindDoc="0" locked="0" layoutInCell="1" allowOverlap="1">
                <wp:simplePos x="0" y="0"/>
                <wp:positionH relativeFrom="page">
                  <wp:posOffset>735965</wp:posOffset>
                </wp:positionH>
                <wp:positionV relativeFrom="paragraph">
                  <wp:posOffset>42545</wp:posOffset>
                </wp:positionV>
                <wp:extent cx="1828800" cy="247015"/>
                <wp:wrapTopAndBottom/>
                <wp:docPr id="15" name="Shape 15"/>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7.950000000000003pt;margin-top:3.3500000000000001pt;width:144.pt;height:19.449999999999999pt;z-index:-125829373;mso-wrap-distance-left:0;mso-wrap-distance-top:3.3500000000000001pt;mso-wrap-distance-right:0;mso-wrap-distance-bottom:54.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0" distB="441960" distL="0" distR="1786255" simplePos="0" relativeHeight="125829382" behindDoc="0" locked="0" layoutInCell="1" allowOverlap="1">
            <wp:simplePos x="0" y="0"/>
            <wp:positionH relativeFrom="page">
              <wp:posOffset>2659380</wp:posOffset>
            </wp:positionH>
            <wp:positionV relativeFrom="paragraph">
              <wp:posOffset>0</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402590</wp:posOffset>
                </wp:positionV>
                <wp:extent cx="1280160" cy="100330"/>
                <wp:wrapNone/>
                <wp:docPr id="19" name="Shape 1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0000000000001pt;margin-top:31.699999999999999pt;width:100.8pt;height:7.9000000000000004pt;z-index:251657729;mso-wrap-distance-left:0;mso-wrap-distance-right:0;mso-position-horizontal-relative:page" filled="f" stroked="f">
                <v:textbox inset="0,0,0,0">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88265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05000000000001pt;margin-top:6.9500000000000002pt;width:135.59999999999999pt;height:20.150000000000002pt;z-index:251657731;mso-wrap-distance-left:0;mso-wrap-distance-right:0;mso-position-horizontal-relative:page" filled="f" stroked="f">
                <v:textbox inset="0,0,0,0">
                  <w:txbxContent>
                    <w:p>
                      <w:pPr>
                        <w:pStyle w:val="Style2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92735" distB="435610" distL="0" distR="0" simplePos="0" relativeHeight="125829383" behindDoc="0" locked="0" layoutInCell="1" allowOverlap="1">
                <wp:simplePos x="0" y="0"/>
                <wp:positionH relativeFrom="page">
                  <wp:posOffset>5944870</wp:posOffset>
                </wp:positionH>
                <wp:positionV relativeFrom="paragraph">
                  <wp:posOffset>292735</wp:posOffset>
                </wp:positionV>
                <wp:extent cx="1246505" cy="250190"/>
                <wp:wrapTopAndBottom/>
                <wp:docPr id="23" name="Shape 23"/>
                <a:graphic xmlns:a="http://schemas.openxmlformats.org/drawingml/2006/main">
                  <a:graphicData uri="http://schemas.microsoft.com/office/word/2010/wordprocessingShape">
                    <wps:wsp>
                      <wps:cNvSpPr txBox="1"/>
                      <wps:spPr>
                        <a:xfrm>
                          <a:ext cx="124650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И.М. Саубанова</w:t>
                            </w:r>
                          </w:p>
                        </w:txbxContent>
                      </wps:txbx>
                      <wps:bodyPr wrap="none" lIns="0" tIns="0" rIns="0" bIns="0">
                        <a:noAutoFit/>
                      </wps:bodyPr>
                    </wps:wsp>
                  </a:graphicData>
                </a:graphic>
              </wp:anchor>
            </w:drawing>
          </mc:Choice>
          <mc:Fallback>
            <w:pict>
              <v:shape id="_x0000_s1049" type="#_x0000_t202" style="position:absolute;margin-left:468.10000000000002pt;margin-top:23.050000000000001pt;width:98.150000000000006pt;height:19.699999999999999pt;z-index:-125829370;mso-wrap-distance-left:0;mso-wrap-distance-top:23.050000000000001pt;mso-wrap-distance-right:0;mso-wrap-distance-bottom:34.30000000000000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И.М. Саубанова</w:t>
                      </w:r>
                    </w:p>
                  </w:txbxContent>
                </v:textbox>
                <w10:wrap type="topAndBottom" anchorx="page"/>
              </v:shape>
            </w:pict>
          </mc:Fallback>
        </mc:AlternateContent>
      </w:r>
      <w:r>
        <mc:AlternateContent>
          <mc:Choice Requires="wps">
            <w:drawing>
              <wp:anchor distT="728345" distB="0" distL="0" distR="0" simplePos="0" relativeHeight="125829385" behindDoc="0" locked="0" layoutInCell="1" allowOverlap="1">
                <wp:simplePos x="0" y="0"/>
                <wp:positionH relativeFrom="page">
                  <wp:posOffset>735965</wp:posOffset>
                </wp:positionH>
                <wp:positionV relativeFrom="paragraph">
                  <wp:posOffset>728345</wp:posOffset>
                </wp:positionV>
                <wp:extent cx="1341120" cy="250190"/>
                <wp:wrapTopAndBottom/>
                <wp:docPr id="25" name="Shape 25"/>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1" type="#_x0000_t202" style="position:absolute;margin-left:57.950000000000003pt;margin-top:57.350000000000001pt;width:105.60000000000001pt;height:19.699999999999999pt;z-index:-125829368;mso-wrap-distance-left:0;mso-wrap-distance-top:57.350000000000001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557530" distB="122555" distL="0" distR="0" simplePos="0" relativeHeight="125829387" behindDoc="0" locked="0" layoutInCell="1" allowOverlap="1">
                <wp:simplePos x="0" y="0"/>
                <wp:positionH relativeFrom="page">
                  <wp:posOffset>2668270</wp:posOffset>
                </wp:positionH>
                <wp:positionV relativeFrom="paragraph">
                  <wp:posOffset>557530</wp:posOffset>
                </wp:positionV>
                <wp:extent cx="2203450" cy="298450"/>
                <wp:wrapTopAndBottom/>
                <wp:docPr id="27" name="Shape 27"/>
                <a:graphic xmlns:a="http://schemas.openxmlformats.org/drawingml/2006/main">
                  <a:graphicData uri="http://schemas.microsoft.com/office/word/2010/wordprocessingShape">
                    <wps:wsp>
                      <wps:cNvSpPr txBox="1"/>
                      <wps:spPr>
                        <a:xfrm>
                          <a:ext cx="2203450" cy="2984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66666"/>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Саубанова Ильмира Маратовна</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E3E3E"/>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66666"/>
                                <w:spacing w:val="0"/>
                                <w:w w:val="100"/>
                                <w:position w:val="0"/>
                                <w:sz w:val="12"/>
                                <w:szCs w:val="12"/>
                                <w:shd w:val="clear" w:color="auto" w:fill="auto"/>
                                <w:lang w:val="ru-RU" w:eastAsia="ru-RU" w:bidi="ru-RU"/>
                              </w:rPr>
                              <w:t>00А70566С1</w:t>
                            </w:r>
                            <w:r>
                              <w:rPr>
                                <w:rFonts w:ascii="Arial" w:eastAsia="Arial" w:hAnsi="Arial" w:cs="Arial"/>
                                <w:color w:val="000000"/>
                                <w:spacing w:val="0"/>
                                <w:w w:val="100"/>
                                <w:position w:val="0"/>
                                <w:sz w:val="12"/>
                                <w:szCs w:val="12"/>
                                <w:shd w:val="clear" w:color="auto" w:fill="auto"/>
                                <w:lang w:val="ru-RU" w:eastAsia="ru-RU" w:bidi="ru-RU"/>
                              </w:rPr>
                              <w:t>9В63А11</w:t>
                            </w:r>
                            <w:r>
                              <w:rPr>
                                <w:rFonts w:ascii="Arial" w:eastAsia="Arial" w:hAnsi="Arial" w:cs="Arial"/>
                                <w:color w:val="3E3E3E"/>
                                <w:spacing w:val="0"/>
                                <w:w w:val="100"/>
                                <w:position w:val="0"/>
                                <w:sz w:val="12"/>
                                <w:szCs w:val="12"/>
                                <w:shd w:val="clear" w:color="auto" w:fill="auto"/>
                                <w:lang w:val="ru-RU" w:eastAsia="ru-RU" w:bidi="ru-RU"/>
                              </w:rPr>
                              <w:t>Е687845С228АСО6ВС</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66666"/>
                                <w:spacing w:val="0"/>
                                <w:w w:val="100"/>
                                <w:position w:val="0"/>
                                <w:sz w:val="12"/>
                                <w:szCs w:val="12"/>
                                <w:shd w:val="clear" w:color="auto" w:fill="auto"/>
                                <w:lang w:val="ru-RU" w:eastAsia="ru-RU" w:bidi="ru-RU"/>
                              </w:rPr>
                              <w:t xml:space="preserve">Действителен </w:t>
                            </w:r>
                            <w:r>
                              <w:rPr>
                                <w:rFonts w:ascii="Arial" w:eastAsia="Arial" w:hAnsi="Arial" w:cs="Arial"/>
                                <w:color w:val="3E3E3E"/>
                                <w:spacing w:val="0"/>
                                <w:w w:val="100"/>
                                <w:position w:val="0"/>
                                <w:sz w:val="12"/>
                                <w:szCs w:val="12"/>
                                <w:shd w:val="clear" w:color="auto" w:fill="auto"/>
                                <w:lang w:val="ru-RU" w:eastAsia="ru-RU" w:bidi="ru-RU"/>
                              </w:rPr>
                              <w:t xml:space="preserve">с </w:t>
                            </w:r>
                            <w:r>
                              <w:rPr>
                                <w:rFonts w:ascii="Arial" w:eastAsia="Arial" w:hAnsi="Arial" w:cs="Arial"/>
                                <w:color w:val="666666"/>
                                <w:spacing w:val="0"/>
                                <w:w w:val="100"/>
                                <w:position w:val="0"/>
                                <w:sz w:val="12"/>
                                <w:szCs w:val="12"/>
                                <w:shd w:val="clear" w:color="auto" w:fill="auto"/>
                                <w:lang w:val="ru-RU" w:eastAsia="ru-RU" w:bidi="ru-RU"/>
                              </w:rPr>
                              <w:t xml:space="preserve">08.08.2023 </w:t>
                            </w:r>
                            <w:r>
                              <w:rPr>
                                <w:rFonts w:ascii="Arial" w:eastAsia="Arial" w:hAnsi="Arial" w:cs="Arial"/>
                                <w:color w:val="858585"/>
                                <w:spacing w:val="0"/>
                                <w:w w:val="100"/>
                                <w:position w:val="0"/>
                                <w:sz w:val="12"/>
                                <w:szCs w:val="12"/>
                                <w:shd w:val="clear" w:color="auto" w:fill="auto"/>
                                <w:lang w:val="ru-RU" w:eastAsia="ru-RU" w:bidi="ru-RU"/>
                              </w:rPr>
                              <w:t xml:space="preserve">по </w:t>
                            </w:r>
                            <w:r>
                              <w:rPr>
                                <w:rFonts w:ascii="Arial" w:eastAsia="Arial" w:hAnsi="Arial" w:cs="Arial"/>
                                <w:color w:val="666666"/>
                                <w:spacing w:val="0"/>
                                <w:w w:val="100"/>
                                <w:position w:val="0"/>
                                <w:sz w:val="12"/>
                                <w:szCs w:val="12"/>
                                <w:shd w:val="clear" w:color="auto" w:fill="auto"/>
                                <w:lang w:val="ru-RU" w:eastAsia="ru-RU" w:bidi="ru-RU"/>
                              </w:rPr>
                              <w:t>31.10.2024</w:t>
                            </w:r>
                          </w:p>
                        </w:txbxContent>
                      </wps:txbx>
                      <wps:bodyPr lIns="0" tIns="0" rIns="0" bIns="0">
                        <a:noAutoFit/>
                      </wps:bodyPr>
                    </wps:wsp>
                  </a:graphicData>
                </a:graphic>
              </wp:anchor>
            </w:drawing>
          </mc:Choice>
          <mc:Fallback>
            <w:pict>
              <v:shape id="_x0000_s1053" type="#_x0000_t202" style="position:absolute;margin-left:210.09999999999999pt;margin-top:43.899999999999999pt;width:173.5pt;height:23.5pt;z-index:-125829366;mso-wrap-distance-left:0;mso-wrap-distance-top:43.899999999999999pt;mso-wrap-distance-right:0;mso-wrap-distance-bottom:9.650000000000000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66666"/>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Саубанова Ильмира Маратовна</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3E3E3E"/>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66666"/>
                          <w:spacing w:val="0"/>
                          <w:w w:val="100"/>
                          <w:position w:val="0"/>
                          <w:sz w:val="12"/>
                          <w:szCs w:val="12"/>
                          <w:shd w:val="clear" w:color="auto" w:fill="auto"/>
                          <w:lang w:val="ru-RU" w:eastAsia="ru-RU" w:bidi="ru-RU"/>
                        </w:rPr>
                        <w:t>00А70566С1</w:t>
                      </w:r>
                      <w:r>
                        <w:rPr>
                          <w:rFonts w:ascii="Arial" w:eastAsia="Arial" w:hAnsi="Arial" w:cs="Arial"/>
                          <w:color w:val="000000"/>
                          <w:spacing w:val="0"/>
                          <w:w w:val="100"/>
                          <w:position w:val="0"/>
                          <w:sz w:val="12"/>
                          <w:szCs w:val="12"/>
                          <w:shd w:val="clear" w:color="auto" w:fill="auto"/>
                          <w:lang w:val="ru-RU" w:eastAsia="ru-RU" w:bidi="ru-RU"/>
                        </w:rPr>
                        <w:t>9В63А11</w:t>
                      </w:r>
                      <w:r>
                        <w:rPr>
                          <w:rFonts w:ascii="Arial" w:eastAsia="Arial" w:hAnsi="Arial" w:cs="Arial"/>
                          <w:color w:val="3E3E3E"/>
                          <w:spacing w:val="0"/>
                          <w:w w:val="100"/>
                          <w:position w:val="0"/>
                          <w:sz w:val="12"/>
                          <w:szCs w:val="12"/>
                          <w:shd w:val="clear" w:color="auto" w:fill="auto"/>
                          <w:lang w:val="ru-RU" w:eastAsia="ru-RU" w:bidi="ru-RU"/>
                        </w:rPr>
                        <w:t>Е687845С228АСО6ВС</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66666"/>
                          <w:spacing w:val="0"/>
                          <w:w w:val="100"/>
                          <w:position w:val="0"/>
                          <w:sz w:val="12"/>
                          <w:szCs w:val="12"/>
                          <w:shd w:val="clear" w:color="auto" w:fill="auto"/>
                          <w:lang w:val="ru-RU" w:eastAsia="ru-RU" w:bidi="ru-RU"/>
                        </w:rPr>
                        <w:t xml:space="preserve">Действителен </w:t>
                      </w:r>
                      <w:r>
                        <w:rPr>
                          <w:rFonts w:ascii="Arial" w:eastAsia="Arial" w:hAnsi="Arial" w:cs="Arial"/>
                          <w:color w:val="3E3E3E"/>
                          <w:spacing w:val="0"/>
                          <w:w w:val="100"/>
                          <w:position w:val="0"/>
                          <w:sz w:val="12"/>
                          <w:szCs w:val="12"/>
                          <w:shd w:val="clear" w:color="auto" w:fill="auto"/>
                          <w:lang w:val="ru-RU" w:eastAsia="ru-RU" w:bidi="ru-RU"/>
                        </w:rPr>
                        <w:t xml:space="preserve">с </w:t>
                      </w:r>
                      <w:r>
                        <w:rPr>
                          <w:rFonts w:ascii="Arial" w:eastAsia="Arial" w:hAnsi="Arial" w:cs="Arial"/>
                          <w:color w:val="666666"/>
                          <w:spacing w:val="0"/>
                          <w:w w:val="100"/>
                          <w:position w:val="0"/>
                          <w:sz w:val="12"/>
                          <w:szCs w:val="12"/>
                          <w:shd w:val="clear" w:color="auto" w:fill="auto"/>
                          <w:lang w:val="ru-RU" w:eastAsia="ru-RU" w:bidi="ru-RU"/>
                        </w:rPr>
                        <w:t xml:space="preserve">08.08.2023 </w:t>
                      </w:r>
                      <w:r>
                        <w:rPr>
                          <w:rFonts w:ascii="Arial" w:eastAsia="Arial" w:hAnsi="Arial" w:cs="Arial"/>
                          <w:color w:val="858585"/>
                          <w:spacing w:val="0"/>
                          <w:w w:val="100"/>
                          <w:position w:val="0"/>
                          <w:sz w:val="12"/>
                          <w:szCs w:val="12"/>
                          <w:shd w:val="clear" w:color="auto" w:fill="auto"/>
                          <w:lang w:val="ru-RU" w:eastAsia="ru-RU" w:bidi="ru-RU"/>
                        </w:rPr>
                        <w:t xml:space="preserve">по </w:t>
                      </w:r>
                      <w:r>
                        <w:rPr>
                          <w:rFonts w:ascii="Arial" w:eastAsia="Arial" w:hAnsi="Arial" w:cs="Arial"/>
                          <w:color w:val="666666"/>
                          <w:spacing w:val="0"/>
                          <w:w w:val="100"/>
                          <w:position w:val="0"/>
                          <w:sz w:val="12"/>
                          <w:szCs w:val="12"/>
                          <w:shd w:val="clear" w:color="auto" w:fill="auto"/>
                          <w:lang w:val="ru-RU" w:eastAsia="ru-RU" w:bidi="ru-RU"/>
                        </w:rPr>
                        <w:t>31.10.2024</w:t>
                      </w:r>
                    </w:p>
                  </w:txbxContent>
                </v:textbox>
                <w10:wrap type="topAndBottom" anchorx="page"/>
              </v:shape>
            </w:pict>
          </mc:Fallback>
        </mc:AlternateContent>
      </w:r>
    </w:p>
    <w:p>
      <w:pPr>
        <w:widowControl w:val="0"/>
        <w:spacing w:line="1" w:lineRule="exact"/>
      </w:pPr>
      <w:r>
        <mc:AlternateContent>
          <mc:Choice Requires="wps">
            <w:drawing>
              <wp:anchor distT="0" distB="0" distL="114300" distR="114300" simplePos="0" relativeHeight="125829389" behindDoc="0" locked="0" layoutInCell="1" allowOverlap="1">
                <wp:simplePos x="0" y="0"/>
                <wp:positionH relativeFrom="page">
                  <wp:posOffset>6182995</wp:posOffset>
                </wp:positionH>
                <wp:positionV relativeFrom="paragraph">
                  <wp:posOffset>12700</wp:posOffset>
                </wp:positionV>
                <wp:extent cx="1009015" cy="250190"/>
                <wp:wrapSquare wrapText="left"/>
                <wp:docPr id="29" name="Shape 29"/>
                <a:graphic xmlns:a="http://schemas.openxmlformats.org/drawingml/2006/main">
                  <a:graphicData uri="http://schemas.microsoft.com/office/word/2010/wordprocessingShape">
                    <wps:wsp>
                      <wps:cNvSpPr txBox="1"/>
                      <wps:spPr>
                        <a:xfrm>
                          <a:ext cx="100901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М.А.Кобзева</w:t>
                            </w:r>
                          </w:p>
                        </w:txbxContent>
                      </wps:txbx>
                      <wps:bodyPr wrap="none" lIns="0" tIns="0" rIns="0" bIns="0">
                        <a:noAutoFit/>
                      </wps:bodyPr>
                    </wps:wsp>
                  </a:graphicData>
                </a:graphic>
              </wp:anchor>
            </w:drawing>
          </mc:Choice>
          <mc:Fallback>
            <w:pict>
              <v:shape id="_x0000_s1055" type="#_x0000_t202" style="position:absolute;margin-left:486.85000000000002pt;margin-top:1.pt;width:79.450000000000003pt;height:19.699999999999999pt;z-index:-125829364;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М.А.Кобзева</w:t>
                      </w:r>
                    </w:p>
                  </w:txbxContent>
                </v:textbox>
                <w10:wrap type="square" side="left" anchorx="page"/>
              </v:shape>
            </w:pict>
          </mc:Fallback>
        </mc:AlternateContent>
      </w:r>
      <w:r>
        <mc:AlternateContent>
          <mc:Choice Requires="wps">
            <w:drawing>
              <wp:anchor distT="158750" distB="0" distL="114300" distR="2510155" simplePos="0" relativeHeight="125829391" behindDoc="0" locked="0" layoutInCell="1" allowOverlap="1">
                <wp:simplePos x="0" y="0"/>
                <wp:positionH relativeFrom="page">
                  <wp:posOffset>3074035</wp:posOffset>
                </wp:positionH>
                <wp:positionV relativeFrom="paragraph">
                  <wp:posOffset>1088390</wp:posOffset>
                </wp:positionV>
                <wp:extent cx="1722120" cy="255905"/>
                <wp:wrapTopAndBottom/>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05000000000001pt;margin-top:85.700000000000003pt;width:135.59999999999999pt;height:20.150000000000002pt;z-index:-125829362;mso-wrap-distance-left:9.pt;mso-wrap-distance-top:12.5pt;mso-wrap-distance-right:197.65000000000001pt;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4465" distL="2970530" distR="114300" simplePos="0" relativeHeight="125829393" behindDoc="0" locked="0" layoutInCell="1" allowOverlap="1">
                <wp:simplePos x="0" y="0"/>
                <wp:positionH relativeFrom="page">
                  <wp:posOffset>5930265</wp:posOffset>
                </wp:positionH>
                <wp:positionV relativeFrom="paragraph">
                  <wp:posOffset>929640</wp:posOffset>
                </wp:positionV>
                <wp:extent cx="1261745" cy="250190"/>
                <wp:wrapTopAndBottom/>
                <wp:docPr id="33" name="Shape 33"/>
                <a:graphic xmlns:a="http://schemas.openxmlformats.org/drawingml/2006/main">
                  <a:graphicData uri="http://schemas.microsoft.com/office/word/2010/wordprocessingShape">
                    <wps:wsp>
                      <wps:cNvSpPr txBox="1"/>
                      <wps:spPr>
                        <a:xfrm>
                          <a:ext cx="126174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К.К.Лукьяненок</w:t>
                            </w:r>
                          </w:p>
                        </w:txbxContent>
                      </wps:txbx>
                      <wps:bodyPr wrap="none" lIns="0" tIns="0" rIns="0" bIns="0">
                        <a:noAutoFit/>
                      </wps:bodyPr>
                    </wps:wsp>
                  </a:graphicData>
                </a:graphic>
              </wp:anchor>
            </w:drawing>
          </mc:Choice>
          <mc:Fallback>
            <w:pict>
              <v:shape id="_x0000_s1059" type="#_x0000_t202" style="position:absolute;margin-left:466.94999999999999pt;margin-top:73.200000000000003pt;width:99.350000000000009pt;height:19.699999999999999pt;z-index:-125829360;mso-wrap-distance-left:233.90000000000001pt;mso-wrap-distance-right:9.pt;mso-wrap-distance-bottom:12.9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К.К.Лукьяненок</w:t>
                      </w:r>
                    </w:p>
                  </w:txbxContent>
                </v:textbox>
                <w10:wrap type="topAndBottom" anchorx="page"/>
              </v:shape>
            </w:pict>
          </mc:Fallback>
        </mc:AlternateContent>
      </w:r>
    </w:p>
    <w:p>
      <w:pPr>
        <w:pStyle w:val="Style2"/>
        <w:keepNext w:val="0"/>
        <w:keepLines w:val="0"/>
        <w:widowControl w:val="0"/>
        <w:shd w:val="clear" w:color="auto" w:fill="auto"/>
        <w:bidi w:val="0"/>
        <w:spacing w:before="0" w:after="95" w:line="214" w:lineRule="auto"/>
        <w:ind w:left="3740" w:right="0" w:firstLine="0"/>
        <w:jc w:val="left"/>
        <w:rPr>
          <w:sz w:val="12"/>
          <w:szCs w:val="12"/>
        </w:rPr>
      </w:pPr>
      <w:r>
        <w:rPr>
          <w:color w:val="212121"/>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66666"/>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Кобзева Мария Александровна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E3E3E"/>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E3E3E"/>
          <w:spacing w:val="0"/>
          <w:w w:val="100"/>
          <w:position w:val="0"/>
          <w:sz w:val="12"/>
          <w:szCs w:val="12"/>
          <w:shd w:val="clear" w:color="auto" w:fill="auto"/>
          <w:lang w:val="ru-RU" w:eastAsia="ru-RU" w:bidi="ru-RU"/>
        </w:rPr>
        <w:t>7С9523Е362Е0П7ААЕЕ07ЕЗО0Е5ЕЕЕ18В</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66666"/>
          <w:spacing w:val="0"/>
          <w:w w:val="100"/>
          <w:position w:val="0"/>
          <w:sz w:val="12"/>
          <w:szCs w:val="12"/>
          <w:shd w:val="clear" w:color="auto" w:fill="auto"/>
          <w:lang w:val="ru-RU" w:eastAsia="ru-RU" w:bidi="ru-RU"/>
        </w:rPr>
        <w:t xml:space="preserve">Действителен </w:t>
      </w:r>
      <w:r>
        <w:rPr>
          <w:rFonts w:ascii="Arial" w:eastAsia="Arial" w:hAnsi="Arial" w:cs="Arial"/>
          <w:color w:val="3E3E3E"/>
          <w:spacing w:val="0"/>
          <w:w w:val="100"/>
          <w:position w:val="0"/>
          <w:sz w:val="12"/>
          <w:szCs w:val="12"/>
          <w:shd w:val="clear" w:color="auto" w:fill="auto"/>
          <w:lang w:val="ru-RU" w:eastAsia="ru-RU" w:bidi="ru-RU"/>
        </w:rPr>
        <w:t xml:space="preserve">с </w:t>
      </w:r>
      <w:r>
        <w:rPr>
          <w:rFonts w:ascii="Arial" w:eastAsia="Arial" w:hAnsi="Arial" w:cs="Arial"/>
          <w:color w:val="666666"/>
          <w:spacing w:val="0"/>
          <w:w w:val="100"/>
          <w:position w:val="0"/>
          <w:sz w:val="12"/>
          <w:szCs w:val="12"/>
          <w:shd w:val="clear" w:color="auto" w:fill="auto"/>
          <w:lang w:val="ru-RU" w:eastAsia="ru-RU" w:bidi="ru-RU"/>
        </w:rPr>
        <w:t xml:space="preserve">18.07.2023 </w:t>
      </w:r>
      <w:r>
        <w:rPr>
          <w:rFonts w:ascii="Arial" w:eastAsia="Arial" w:hAnsi="Arial" w:cs="Arial"/>
          <w:color w:val="858585"/>
          <w:spacing w:val="0"/>
          <w:w w:val="100"/>
          <w:position w:val="0"/>
          <w:sz w:val="12"/>
          <w:szCs w:val="12"/>
          <w:shd w:val="clear" w:color="auto" w:fill="auto"/>
          <w:lang w:val="ru-RU" w:eastAsia="ru-RU" w:bidi="ru-RU"/>
        </w:rPr>
        <w:t xml:space="preserve">по </w:t>
      </w:r>
      <w:r>
        <w:rPr>
          <w:rFonts w:ascii="Arial" w:eastAsia="Arial" w:hAnsi="Arial" w:cs="Arial"/>
          <w:color w:val="666666"/>
          <w:spacing w:val="0"/>
          <w:w w:val="100"/>
          <w:position w:val="0"/>
          <w:sz w:val="12"/>
          <w:szCs w:val="12"/>
          <w:shd w:val="clear" w:color="auto" w:fill="auto"/>
          <w:lang w:val="ru-RU" w:eastAsia="ru-RU" w:bidi="ru-RU"/>
        </w:rPr>
        <w:t>10.10.2024</w: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59"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66666"/>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 xml:space="preserve">Лукьяненок Климентий Константинович </w:t>
      </w:r>
      <w:r>
        <w:rPr>
          <w:rFonts w:ascii="Arial" w:eastAsia="Arial" w:hAnsi="Arial" w:cs="Arial"/>
          <w:color w:val="3E3E3E"/>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E3E3E"/>
          <w:spacing w:val="0"/>
          <w:w w:val="100"/>
          <w:position w:val="0"/>
          <w:sz w:val="12"/>
          <w:szCs w:val="12"/>
          <w:shd w:val="clear" w:color="auto" w:fill="auto"/>
          <w:lang w:val="ru-RU" w:eastAsia="ru-RU" w:bidi="ru-RU"/>
        </w:rPr>
        <w:t>00АА683Е22890ЕАО641</w:t>
      </w:r>
      <w:r>
        <w:rPr>
          <w:rFonts w:ascii="Arial" w:eastAsia="Arial" w:hAnsi="Arial" w:cs="Arial"/>
          <w:color w:val="666666"/>
          <w:spacing w:val="0"/>
          <w:w w:val="100"/>
          <w:position w:val="0"/>
          <w:sz w:val="12"/>
          <w:szCs w:val="12"/>
          <w:shd w:val="clear" w:color="auto" w:fill="auto"/>
          <w:lang w:val="ru-RU" w:eastAsia="ru-RU" w:bidi="ru-RU"/>
        </w:rPr>
        <w:t>ВВВВ72249908301</w:t>
      </w:r>
    </w:p>
    <w:p>
      <w:pPr>
        <w:pStyle w:val="Style2"/>
        <w:keepNext w:val="0"/>
        <w:keepLines w:val="0"/>
        <w:widowControl w:val="0"/>
        <w:shd w:val="clear" w:color="auto" w:fill="auto"/>
        <w:bidi w:val="0"/>
        <w:spacing w:before="0" w:after="40" w:line="259" w:lineRule="auto"/>
        <w:ind w:left="3100" w:right="0" w:firstLine="0"/>
        <w:jc w:val="left"/>
        <w:rPr>
          <w:sz w:val="12"/>
          <w:szCs w:val="12"/>
        </w:rPr>
      </w:pPr>
      <w:r>
        <w:rPr>
          <w:rFonts w:ascii="Arial" w:eastAsia="Arial" w:hAnsi="Arial" w:cs="Arial"/>
          <w:color w:val="666666"/>
          <w:spacing w:val="0"/>
          <w:w w:val="100"/>
          <w:position w:val="0"/>
          <w:sz w:val="12"/>
          <w:szCs w:val="12"/>
          <w:shd w:val="clear" w:color="auto" w:fill="auto"/>
          <w:lang w:val="ru-RU" w:eastAsia="ru-RU" w:bidi="ru-RU"/>
        </w:rPr>
        <w:t xml:space="preserve">Действителен с 03.02.2023 </w:t>
      </w:r>
      <w:r>
        <w:rPr>
          <w:rFonts w:ascii="Arial" w:eastAsia="Arial" w:hAnsi="Arial" w:cs="Arial"/>
          <w:color w:val="858585"/>
          <w:spacing w:val="0"/>
          <w:w w:val="100"/>
          <w:position w:val="0"/>
          <w:sz w:val="12"/>
          <w:szCs w:val="12"/>
          <w:shd w:val="clear" w:color="auto" w:fill="auto"/>
          <w:lang w:val="ru-RU" w:eastAsia="ru-RU" w:bidi="ru-RU"/>
        </w:rPr>
        <w:t xml:space="preserve">по </w:t>
      </w:r>
      <w:r>
        <w:rPr>
          <w:rFonts w:ascii="Arial" w:eastAsia="Arial" w:hAnsi="Arial" w:cs="Arial"/>
          <w:color w:val="3E3E3E"/>
          <w:spacing w:val="0"/>
          <w:w w:val="100"/>
          <w:position w:val="0"/>
          <w:sz w:val="12"/>
          <w:szCs w:val="12"/>
          <w:shd w:val="clear" w:color="auto" w:fill="auto"/>
          <w:lang w:val="ru-RU" w:eastAsia="ru-RU" w:bidi="ru-RU"/>
        </w:rPr>
        <w:t>28.04.2024</w:t>
      </w:r>
    </w:p>
    <w:sectPr>
      <w:footnotePr>
        <w:pos w:val="pageBottom"/>
        <w:numFmt w:val="decimal"/>
        <w:numRestart w:val="continuous"/>
      </w:footnotePr>
      <w:type w:val="continuous"/>
      <w:pgSz w:w="11900" w:h="16840"/>
      <w:pgMar w:top="1666" w:right="546" w:bottom="2722" w:left="110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2023-8765</w:t>
                          </w:r>
                        </w:p>
                      </w:txbxContent>
                    </wps:txbx>
                    <wps:bodyPr wrap="none" lIns="0" tIns="0" rIns="0" bIns="0">
                      <a:spAutoFit/>
                    </wps:bodyPr>
                  </wps:wsp>
                </a:graphicData>
              </a:graphic>
            </wp:anchor>
          </w:drawing>
        </mc:Choice>
        <mc:Fallback>
          <w:pict>
            <v:shape id="_x0000_s1029" type="#_x0000_t202" style="position:absolute;margin-left:57.pt;margin-top:788.7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2023-8765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3255" cy="100330"/>
              <wp:wrapNone/>
              <wp:docPr id="5" name="Shape 5"/>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2023-8765</w:t>
                          </w:r>
                        </w:p>
                      </w:txbxContent>
                    </wps:txbx>
                    <wps:bodyPr wrap="none" lIns="0" tIns="0" rIns="0" bIns="0">
                      <a:spAutoFit/>
                    </wps:bodyPr>
                  </wps:wsp>
                </a:graphicData>
              </a:graphic>
            </wp:anchor>
          </w:drawing>
        </mc:Choice>
        <mc:Fallback>
          <w:pict>
            <v:shape id="_x0000_s1031" type="#_x0000_t202" style="position:absolute;margin-left:57.pt;margin-top:776.20000000000005pt;width:50.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2023-8765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10016490</wp:posOffset>
              </wp:positionV>
              <wp:extent cx="643255" cy="100330"/>
              <wp:wrapNone/>
              <wp:docPr id="13" name="Shape 1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2023-8765</w:t>
                          </w:r>
                        </w:p>
                      </w:txbxContent>
                    </wps:txbx>
                    <wps:bodyPr wrap="none" lIns="0" tIns="0" rIns="0" bIns="0">
                      <a:spAutoFit/>
                    </wps:bodyPr>
                  </wps:wsp>
                </a:graphicData>
              </a:graphic>
            </wp:anchor>
          </w:drawing>
        </mc:Choice>
        <mc:Fallback>
          <w:pict>
            <v:shape id="_x0000_s1039" type="#_x0000_t202" style="position:absolute;margin-left:57.pt;margin-top:788.70000000000005pt;width:50.649999999999999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2023-8765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3903345</wp:posOffset>
              </wp:positionH>
              <wp:positionV relativeFrom="page">
                <wp:posOffset>683895</wp:posOffset>
              </wp:positionV>
              <wp:extent cx="128270" cy="106680"/>
              <wp:wrapNone/>
              <wp:docPr id="1" name="Shape 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7.35000000000002pt;margin-top:53.850000000000001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3933825</wp:posOffset>
              </wp:positionH>
              <wp:positionV relativeFrom="page">
                <wp:posOffset>759460</wp:posOffset>
              </wp:positionV>
              <wp:extent cx="57785" cy="106680"/>
              <wp:wrapNone/>
              <wp:docPr id="9" name="Shape 9"/>
              <a:graphic xmlns:a="http://schemas.openxmlformats.org/drawingml/2006/main">
                <a:graphicData uri="http://schemas.microsoft.com/office/word/2010/wordprocessingShape">
                  <wps:wsp>
                    <wps:cNvSpPr txBox="1"/>
                    <wps:spPr>
                      <a:xfrm>
                        <a:ext cx="57785"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75pt;margin-top:59.800000000000004pt;width:4.5499999999999998pt;height:8.4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3903345</wp:posOffset>
              </wp:positionH>
              <wp:positionV relativeFrom="page">
                <wp:posOffset>683895</wp:posOffset>
              </wp:positionV>
              <wp:extent cx="128270" cy="106680"/>
              <wp:wrapNone/>
              <wp:docPr id="11" name="Shape 11"/>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7.35000000000002pt;margin-top:53.850000000000001pt;width:10.1pt;height:8.40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таблице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8"/>
      <w:szCs w:val="38"/>
      <w:u w:val="none"/>
    </w:rPr>
  </w:style>
  <w:style w:type="character" w:customStyle="1" w:styleId="CharStyle30">
    <w:name w:val="Подпись к картинке_"/>
    <w:basedOn w:val="DefaultParagraphFont"/>
    <w:link w:val="Style29"/>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таблице"/>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3">
    <w:name w:val="Заголовок №1"/>
    <w:basedOn w:val="Normal"/>
    <w:link w:val="CharStyle24"/>
    <w:pPr>
      <w:widowControl w:val="0"/>
      <w:shd w:val="clear" w:color="auto" w:fill="auto"/>
      <w:spacing w:after="220"/>
      <w:outlineLvl w:val="0"/>
    </w:pPr>
    <w:rPr>
      <w:rFonts w:ascii="Arial" w:eastAsia="Arial" w:hAnsi="Arial" w:cs="Arial"/>
      <w:b w:val="0"/>
      <w:bCs w:val="0"/>
      <w:i w:val="0"/>
      <w:iCs w:val="0"/>
      <w:smallCaps w:val="0"/>
      <w:strike w:val="0"/>
      <w:sz w:val="38"/>
      <w:szCs w:val="38"/>
      <w:u w:val="none"/>
    </w:rPr>
  </w:style>
  <w:style w:type="paragraph" w:customStyle="1" w:styleId="Style29">
    <w:name w:val="Подпись к картинке"/>
    <w:basedOn w:val="Normal"/>
    <w:link w:val="CharStyle3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s>
</file>