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Еврейской автономной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Постышева, 3, г. Биробиджан, ЕАО, 679014</w:t>
        <w:br/>
        <w:t>тел/фа кс (42622) 2-00-47, 2-11-47</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е-таП: 1о79@Га8.§оу.ги</w:t>
      </w:r>
    </w:p>
    <w:p>
      <w:pPr>
        <w:pStyle w:val="Style7"/>
        <w:keepNext w:val="0"/>
        <w:keepLines w:val="0"/>
        <w:widowControl w:val="0"/>
        <w:shd w:val="clear" w:color="auto" w:fill="auto"/>
        <w:bidi w:val="0"/>
        <w:spacing w:before="0" w:after="40" w:line="240" w:lineRule="auto"/>
        <w:ind w:left="0" w:right="0" w:firstLine="0"/>
        <w:jc w:val="center"/>
      </w:pPr>
      <w:r>
        <w:rPr>
          <w:spacing w:val="0"/>
          <w:w w:val="100"/>
          <w:position w:val="0"/>
          <w:shd w:val="clear" w:color="auto" w:fill="auto"/>
          <w:lang w:val="ru-RU" w:eastAsia="ru-RU" w:bidi="ru-RU"/>
        </w:rPr>
        <w:t>Нйр5://еао.Га5.§оу.ги</w:t>
      </w:r>
    </w:p>
    <w:p>
      <w:pPr>
        <w:pStyle w:val="Style12"/>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9.11.2023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ПБ/1320/23</w:t>
      </w:r>
    </w:p>
    <w:p>
      <w:pPr>
        <w:pStyle w:val="Style10"/>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И.о. директора МКУ «Чистый поселок МО «Смидовичское городское поселение» Смидовичского муниципального района ЕАО</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И.С. Осиповой</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Индивидуальному предпринимателю</w:t>
      </w:r>
    </w:p>
    <w:p>
      <w:pPr>
        <w:pStyle w:val="Style12"/>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361" w:right="820" w:bottom="1318" w:left="1140" w:header="0" w:footer="3" w:gutter="0"/>
          <w:pgNumType w:start="1"/>
          <w:cols w:num="2" w:space="720" w:equalWidth="0">
            <w:col w:w="4171" w:space="1094"/>
            <w:col w:w="4675"/>
          </w:cols>
          <w:noEndnote/>
          <w:titlePg/>
          <w:rtlGutter w:val="0"/>
          <w:docGrid w:linePitch="360"/>
        </w:sectPr>
      </w:pPr>
      <w:r>
        <w:rPr>
          <w:color w:val="000000"/>
          <w:spacing w:val="0"/>
          <w:w w:val="100"/>
          <w:position w:val="0"/>
          <w:sz w:val="28"/>
          <w:szCs w:val="28"/>
          <w:shd w:val="clear" w:color="auto" w:fill="auto"/>
          <w:lang w:val="ru-RU" w:eastAsia="ru-RU" w:bidi="ru-RU"/>
        </w:rPr>
        <w:t>Сысоеву К.В.</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9" w:right="0" w:bottom="1289" w:left="0" w:header="0" w:footer="3" w:gutter="0"/>
          <w:cols w:space="720"/>
          <w:noEndnote/>
          <w:rtlGutter w:val="0"/>
          <w:docGrid w:linePitch="360"/>
        </w:sectPr>
      </w:pP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w:t>
        <w:br/>
        <w:t>по делу № 079/06/106-24/2023</w:t>
        <w:br/>
      </w:r>
      <w:r>
        <w:rPr>
          <w:color w:val="000000"/>
          <w:spacing w:val="0"/>
          <w:w w:val="100"/>
          <w:position w:val="0"/>
          <w:shd w:val="clear" w:color="auto" w:fill="auto"/>
          <w:lang w:val="ru-RU" w:eastAsia="ru-RU" w:bidi="ru-RU"/>
        </w:rPr>
        <w:t>о нарушении законодательства о закупках</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Резолютивная часть решения объявлена «03» ноября 2023 года г. Биробиджан В полном объеме решение изготовлено «09» ноября 2023 года</w:t>
      </w:r>
    </w:p>
    <w:p>
      <w:pPr>
        <w:pStyle w:val="Style12"/>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Еврейской автономной области по контролю в сфере закупок (далее - Комиссия Еврейского УФАС России) в составе:</w:t>
      </w:r>
    </w:p>
    <w:tbl>
      <w:tblPr>
        <w:tblOverlap w:val="never"/>
        <w:jc w:val="center"/>
        <w:tblLayout w:type="fixed"/>
      </w:tblPr>
      <w:tblGrid>
        <w:gridCol w:w="5170"/>
        <w:gridCol w:w="5078"/>
      </w:tblGrid>
      <w:tr>
        <w:trPr>
          <w:trHeight w:val="643" w:hRule="exact"/>
        </w:trPr>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 П.В. Балобанов</w:t>
            </w:r>
          </w:p>
        </w:tc>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 врио руководителя управления Еврейского УФАС России;</w:t>
            </w:r>
          </w:p>
        </w:tc>
      </w:tr>
    </w:tbl>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pPr>
    </w:p>
    <w:tbl>
      <w:tblPr>
        <w:tblOverlap w:val="never"/>
        <w:jc w:val="center"/>
        <w:tblLayout w:type="fixed"/>
      </w:tblPr>
      <w:tblGrid>
        <w:gridCol w:w="5170"/>
        <w:gridCol w:w="5078"/>
      </w:tblGrid>
      <w:tr>
        <w:trPr>
          <w:trHeight w:val="826" w:hRule="exact"/>
        </w:trPr>
        <w:tc>
          <w:tcPr>
            <w:tcBorders/>
            <w:shd w:val="clear" w:color="auto" w:fill="auto"/>
            <w:vAlign w:val="top"/>
          </w:tcPr>
          <w:p>
            <w:pPr>
              <w:pStyle w:val="Style21"/>
              <w:keepNext w:val="0"/>
              <w:keepLines w:val="0"/>
              <w:widowControl w:val="0"/>
              <w:shd w:val="clear" w:color="auto" w:fill="auto"/>
              <w:bidi w:val="0"/>
              <w:spacing w:before="0" w:after="0" w:line="240" w:lineRule="auto"/>
              <w:ind w:left="3020" w:right="0" w:firstLine="0"/>
              <w:jc w:val="left"/>
            </w:pPr>
            <w:r>
              <w:rPr>
                <w:color w:val="000000"/>
                <w:spacing w:val="0"/>
                <w:w w:val="100"/>
                <w:position w:val="0"/>
                <w:shd w:val="clear" w:color="auto" w:fill="auto"/>
                <w:lang w:val="ru-RU" w:eastAsia="ru-RU" w:bidi="ru-RU"/>
              </w:rPr>
              <w:t>- А.М. Ильенко</w:t>
            </w:r>
          </w:p>
        </w:tc>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 главный специалист-эксперт Еврейского УФАС России;</w:t>
            </w:r>
          </w:p>
        </w:tc>
      </w:tr>
      <w:tr>
        <w:trPr>
          <w:trHeight w:val="773" w:hRule="exact"/>
        </w:trPr>
        <w:tc>
          <w:tcPr>
            <w:tcBorders/>
            <w:shd w:val="clear" w:color="auto" w:fill="auto"/>
            <w:vAlign w:val="center"/>
          </w:tcPr>
          <w:p>
            <w:pPr>
              <w:pStyle w:val="Style21"/>
              <w:keepNext w:val="0"/>
              <w:keepLines w:val="0"/>
              <w:widowControl w:val="0"/>
              <w:shd w:val="clear" w:color="auto" w:fill="auto"/>
              <w:bidi w:val="0"/>
              <w:spacing w:before="0" w:after="0" w:line="240" w:lineRule="auto"/>
              <w:ind w:left="3020" w:right="0" w:firstLine="0"/>
              <w:jc w:val="left"/>
            </w:pPr>
            <w:r>
              <w:rPr>
                <w:color w:val="000000"/>
                <w:spacing w:val="0"/>
                <w:w w:val="100"/>
                <w:position w:val="0"/>
                <w:shd w:val="clear" w:color="auto" w:fill="auto"/>
                <w:lang w:val="ru-RU" w:eastAsia="ru-RU" w:bidi="ru-RU"/>
              </w:rPr>
              <w:t>- С.Н. Свирид</w:t>
            </w:r>
          </w:p>
        </w:tc>
        <w:tc>
          <w:tcPr>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 главный специалист-эксперт Еврейского УФАС России;</w:t>
            </w:r>
          </w:p>
        </w:tc>
      </w:tr>
    </w:tbl>
    <w:p>
      <w:pPr>
        <w:widowControl w:val="0"/>
        <w:spacing w:after="559" w:line="1" w:lineRule="exact"/>
      </w:pP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Заседание проведено:</w:t>
      </w:r>
    </w:p>
    <w:p>
      <w:pPr>
        <w:pStyle w:val="Style12"/>
        <w:keepNext w:val="0"/>
        <w:keepLines w:val="0"/>
        <w:widowControl w:val="0"/>
        <w:numPr>
          <w:ilvl w:val="0"/>
          <w:numId w:val="1"/>
        </w:numPr>
        <w:shd w:val="clear" w:color="auto" w:fill="auto"/>
        <w:tabs>
          <w:tab w:pos="99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Сысоева К.В. - (уведомлен надлежащим образом, уведомление от 31.10.2023 № ПБ/1251/23);</w:t>
      </w:r>
    </w:p>
    <w:p>
      <w:pPr>
        <w:pStyle w:val="Style12"/>
        <w:keepNext w:val="0"/>
        <w:keepLines w:val="0"/>
        <w:widowControl w:val="0"/>
        <w:numPr>
          <w:ilvl w:val="0"/>
          <w:numId w:val="1"/>
        </w:numPr>
        <w:shd w:val="clear" w:color="auto" w:fill="auto"/>
        <w:tabs>
          <w:tab w:pos="987" w:val="left"/>
        </w:tabs>
        <w:bidi w:val="0"/>
        <w:spacing w:before="0" w:after="32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муниципального заказчика - МКУ «Чистый поселок МО «Смидовичское городское поселение» Смидовичского муниципального района ЕАО - (уведомлены надлежащим образом, уведомление от 31.10.2023 № ПБ/1251/23);</w:t>
      </w:r>
    </w:p>
    <w:p>
      <w:pPr>
        <w:widowControl w:val="0"/>
        <w:spacing w:line="1" w:lineRule="exact"/>
      </w:pPr>
      <w:r>
        <w:drawing>
          <wp:anchor distT="38100" distB="0" distL="0" distR="0" simplePos="0" relativeHeight="125829378" behindDoc="0" locked="0" layoutInCell="1" allowOverlap="1">
            <wp:simplePos x="0" y="0"/>
            <wp:positionH relativeFrom="page">
              <wp:posOffset>717550</wp:posOffset>
            </wp:positionH>
            <wp:positionV relativeFrom="paragraph">
              <wp:posOffset>38100</wp:posOffset>
            </wp:positionV>
            <wp:extent cx="1517650" cy="28638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86385"/>
                    </a:xfrm>
                    <a:prstGeom prst="rect"/>
                  </pic:spPr>
                </pic:pic>
              </a:graphicData>
            </a:graphic>
          </wp:anchor>
        </w:drawing>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Сысоева Константина Владимировича (вход. от 30.10.2023 № 2455/23), на действия муниципального заказчика - МКУ «Чистый поселок МО «Смидовичское городское поселение» Смидовичского муниципального района ЕАО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допущенных при осуществлении закупки для муниципальных нужд, путем проведения электронного аукциона, объектом которого является: «Выполнение мероприятий по текущему ремонту элементов улично-дорожной сети на территории муниципального образования «Смидовичское городское поселение» Смидовичского муниципального района Еврейской автономной области (текущий ремонт пешеходных переходов вблизи образовательных учреждений в пос. Смидович, с. Аур с. Песчаное (1 этап) и текущий ремонт автомобильной дороги ул. Дзержинского в пос. Смидович)» (извещение от 20.10.2023 № 0878600000923000015), в соответствии с ч. 15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Еврейской автономной области поступила жалоба Сысоева Константина Владимировича (далее - Заявитель) (вход. от 30.10.2023 № 2455/23), на действия муниципального заказчика - МКУ «Чистый поселок МО «Смидовичское городское поселение» Смидовичского муниципального района ЕАО (далее - Заказчик)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допущенных при осуществлении закупки для муниципальных нужд, путем проведения электронного аукциона, объектом которого является: «Выполнение мероприятий по текущему ремонту элементов улично-дорожной сети на территории муниципального образования «Смидовичское городское поселение» Смидовичского муниципального района Еврейской автономной области (текущий ремонт пешеходных переходов вблизи образовательных учреждений в пос. Смидович, с. Аур с. Песчаное (1 этап) и текущий ремонт автомобильной дороги ул. Дзержинского в пос. Смидович)» (извещение от 20.10.2023 № 0878600000923000015).</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Жалоба подана в соответствии с требованиями ст. 106 Закона о контрактной системе.</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жалобе Сысоева К.В. указано, что Заказчиком не указано описание объекта закупки в Извещении в структурированном виде; неверно установлены требования согласно ч. 2 ст. 31 Закона о контрактной системе, а также Заказчиком не установлено требование к составу и содержанию заявки и инструкции ее заполнения в нарушение ч. 2 ст. 42 Закона о контрактной системе.</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рассмотрев доводы жалобы, проведя внеплановую проверку, руководствуясь статьями 99, 106 Закона о контрактной системе, Комиссия Еврейского УФАС России пришла к следующим выводам.</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нормой, закрепленной в ст. 1 Закона о контрактной системе указанный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23"/>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Статьей 8 Закона о контрактной системе установлены следующие принципы обеспечения конкуренции:</w:t>
      </w:r>
      <w:bookmarkEnd w:id="0"/>
    </w:p>
    <w:p>
      <w:pPr>
        <w:pStyle w:val="Style12"/>
        <w:keepNext w:val="0"/>
        <w:keepLines w:val="0"/>
        <w:widowControl w:val="0"/>
        <w:numPr>
          <w:ilvl w:val="0"/>
          <w:numId w:val="3"/>
        </w:numPr>
        <w:shd w:val="clear" w:color="auto" w:fill="auto"/>
        <w:tabs>
          <w:tab w:pos="103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numPr>
          <w:ilvl w:val="0"/>
          <w:numId w:val="3"/>
        </w:numPr>
        <w:shd w:val="clear" w:color="auto" w:fill="auto"/>
        <w:tabs>
          <w:tab w:pos="103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при осуществлении закупок Заказчик обязан соблюдать требования Закона о контрактной системе.</w:t>
      </w:r>
    </w:p>
    <w:p>
      <w:pPr>
        <w:pStyle w:val="Style12"/>
        <w:keepNext w:val="0"/>
        <w:keepLines w:val="0"/>
        <w:widowControl w:val="0"/>
        <w:numPr>
          <w:ilvl w:val="0"/>
          <w:numId w:val="5"/>
        </w:numPr>
        <w:shd w:val="clear" w:color="auto" w:fill="auto"/>
        <w:tabs>
          <w:tab w:pos="110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октября 2023 года в единой информационной системе в сфере закупок по адресу: 1П1р:\у\\\у./ак11рк1.до\'.П1 и на электронной площадке АО «Сбербанк-АСТ» по адресу: 1Н1р:\у\у\у.^ЬегЬа11к-а^1.П1 Заказчиком размещено извещение о проведении электронного аукциона № 0878600000923000015. В извещении о проведении электронного аукциона указана следующая информация, в том числе:</w:t>
      </w:r>
    </w:p>
    <w:p>
      <w:pPr>
        <w:pStyle w:val="Style12"/>
        <w:keepNext w:val="0"/>
        <w:keepLines w:val="0"/>
        <w:widowControl w:val="0"/>
        <w:numPr>
          <w:ilvl w:val="0"/>
          <w:numId w:val="7"/>
        </w:numPr>
        <w:shd w:val="clear" w:color="auto" w:fill="auto"/>
        <w:tabs>
          <w:tab w:pos="94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ИКЗ: 233790352984979030100100140014211244;</w:t>
      </w:r>
    </w:p>
    <w:p>
      <w:pPr>
        <w:pStyle w:val="Style12"/>
        <w:keepNext w:val="0"/>
        <w:keepLines w:val="0"/>
        <w:widowControl w:val="0"/>
        <w:numPr>
          <w:ilvl w:val="0"/>
          <w:numId w:val="7"/>
        </w:numPr>
        <w:shd w:val="clear" w:color="auto" w:fill="auto"/>
        <w:tabs>
          <w:tab w:pos="94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объекта закупки: выполнение мероприятий по текущему ремонту элементов улично-дорожной сети на территории муниципального образования «Смидовичское городское поселение» Смидовичского муниципального района Еврейской автономной области (текущий ремонт пешеходных переходов вблизи образовательных учреждений в пос. Смидович, с. Аур с. Песчаное (1 этап) и текущий ремонт автомобильной дороги ул. Дзержинского в пос. Смидович);</w:t>
      </w:r>
    </w:p>
    <w:p>
      <w:pPr>
        <w:pStyle w:val="Style12"/>
        <w:keepNext w:val="0"/>
        <w:keepLines w:val="0"/>
        <w:widowControl w:val="0"/>
        <w:numPr>
          <w:ilvl w:val="0"/>
          <w:numId w:val="7"/>
        </w:numPr>
        <w:shd w:val="clear" w:color="auto" w:fill="auto"/>
        <w:tabs>
          <w:tab w:pos="94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7 828 282,83 руб.;</w:t>
      </w:r>
    </w:p>
    <w:p>
      <w:pPr>
        <w:pStyle w:val="Style12"/>
        <w:keepNext w:val="0"/>
        <w:keepLines w:val="0"/>
        <w:widowControl w:val="0"/>
        <w:numPr>
          <w:ilvl w:val="0"/>
          <w:numId w:val="7"/>
        </w:numPr>
        <w:shd w:val="clear" w:color="auto" w:fill="auto"/>
        <w:tabs>
          <w:tab w:pos="94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01.11.2023;</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доводам жалобы Комиссией Еврейского УФАС России установлено следующее:</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1. В соответствии с п.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2"/>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2"/>
        <w:keepNext w:val="0"/>
        <w:keepLines w:val="0"/>
        <w:widowControl w:val="0"/>
        <w:numPr>
          <w:ilvl w:val="0"/>
          <w:numId w:val="9"/>
        </w:numPr>
        <w:shd w:val="clear" w:color="auto" w:fill="auto"/>
        <w:tabs>
          <w:tab w:pos="889" w:val="left"/>
        </w:tabs>
        <w:bidi w:val="0"/>
        <w:spacing w:before="0" w:line="240" w:lineRule="auto"/>
        <w:ind w:left="0" w:right="0" w:firstLine="56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11"/>
        </w:numPr>
        <w:shd w:val="clear" w:color="auto" w:fill="auto"/>
        <w:tabs>
          <w:tab w:pos="892" w:val="left"/>
        </w:tabs>
        <w:bidi w:val="0"/>
        <w:spacing w:before="0" w:line="240" w:lineRule="auto"/>
        <w:ind w:left="0" w:right="0" w:firstLine="56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2"/>
        <w:keepNext w:val="0"/>
        <w:keepLines w:val="0"/>
        <w:widowControl w:val="0"/>
        <w:numPr>
          <w:ilvl w:val="0"/>
          <w:numId w:val="11"/>
        </w:numPr>
        <w:shd w:val="clear" w:color="auto" w:fill="auto"/>
        <w:tabs>
          <w:tab w:pos="894" w:val="left"/>
        </w:tabs>
        <w:bidi w:val="0"/>
        <w:spacing w:before="0" w:line="240" w:lineRule="auto"/>
        <w:ind w:left="0" w:right="0" w:firstLine="56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11"/>
        </w:numPr>
        <w:shd w:val="clear" w:color="auto" w:fill="auto"/>
        <w:tabs>
          <w:tab w:pos="879" w:val="left"/>
        </w:tabs>
        <w:bidi w:val="0"/>
        <w:spacing w:before="0" w:line="240" w:lineRule="auto"/>
        <w:ind w:left="0" w:right="0" w:firstLine="56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11"/>
        </w:numPr>
        <w:shd w:val="clear" w:color="auto" w:fill="auto"/>
        <w:tabs>
          <w:tab w:pos="870" w:val="left"/>
        </w:tabs>
        <w:bidi w:val="0"/>
        <w:spacing w:before="0" w:line="240" w:lineRule="auto"/>
        <w:ind w:left="0" w:right="0" w:firstLine="56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numPr>
          <w:ilvl w:val="0"/>
          <w:numId w:val="9"/>
        </w:numPr>
        <w:shd w:val="clear" w:color="auto" w:fill="auto"/>
        <w:tabs>
          <w:tab w:pos="931" w:val="left"/>
        </w:tabs>
        <w:bidi w:val="0"/>
        <w:spacing w:before="0" w:line="240" w:lineRule="auto"/>
        <w:ind w:left="0" w:right="0" w:firstLine="56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numPr>
          <w:ilvl w:val="0"/>
          <w:numId w:val="9"/>
        </w:numPr>
        <w:shd w:val="clear" w:color="auto" w:fill="auto"/>
        <w:tabs>
          <w:tab w:pos="931" w:val="left"/>
        </w:tabs>
        <w:bidi w:val="0"/>
        <w:spacing w:before="0" w:line="240" w:lineRule="auto"/>
        <w:ind w:left="0" w:right="0" w:firstLine="560"/>
        <w:jc w:val="both"/>
      </w:pPr>
      <w:r>
        <w:rPr>
          <w:color w:val="000000"/>
          <w:spacing w:val="0"/>
          <w:w w:val="100"/>
          <w:position w:val="0"/>
          <w:shd w:val="clear" w:color="auto" w:fill="auto"/>
          <w:lang w:val="ru-RU" w:eastAsia="ru-RU" w:bidi="ru-RU"/>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2"/>
        <w:keepNext w:val="0"/>
        <w:keepLines w:val="0"/>
        <w:widowControl w:val="0"/>
        <w:numPr>
          <w:ilvl w:val="0"/>
          <w:numId w:val="9"/>
        </w:numPr>
        <w:shd w:val="clear" w:color="auto" w:fill="auto"/>
        <w:tabs>
          <w:tab w:pos="931" w:val="left"/>
        </w:tabs>
        <w:bidi w:val="0"/>
        <w:spacing w:before="0" w:line="240" w:lineRule="auto"/>
        <w:ind w:left="0" w:right="0" w:firstLine="560"/>
        <w:jc w:val="both"/>
      </w:pPr>
      <w:r>
        <w:rPr>
          <w:color w:val="000000"/>
          <w:spacing w:val="0"/>
          <w:w w:val="100"/>
          <w:position w:val="0"/>
          <w:shd w:val="clear" w:color="auto" w:fill="auto"/>
          <w:lang w:val="ru-RU" w:eastAsia="ru-RU" w:bidi="ru-RU"/>
        </w:rPr>
        <w:t>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Style12"/>
        <w:keepNext w:val="0"/>
        <w:keepLines w:val="0"/>
        <w:widowControl w:val="0"/>
        <w:numPr>
          <w:ilvl w:val="0"/>
          <w:numId w:val="9"/>
        </w:numPr>
        <w:shd w:val="clear" w:color="auto" w:fill="auto"/>
        <w:tabs>
          <w:tab w:pos="931" w:val="left"/>
        </w:tabs>
        <w:bidi w:val="0"/>
        <w:spacing w:before="0" w:line="240" w:lineRule="auto"/>
        <w:ind w:left="0" w:right="0" w:firstLine="560"/>
        <w:jc w:val="both"/>
      </w:pPr>
      <w:r>
        <w:rPr>
          <w:color w:val="000000"/>
          <w:spacing w:val="0"/>
          <w:w w:val="100"/>
          <w:position w:val="0"/>
          <w:shd w:val="clear" w:color="auto" w:fill="auto"/>
          <w:lang w:val="ru-RU" w:eastAsia="ru-RU" w:bidi="ru-RU"/>
        </w:rPr>
        <w:t>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Style12"/>
        <w:keepNext w:val="0"/>
        <w:keepLines w:val="0"/>
        <w:widowControl w:val="0"/>
        <w:numPr>
          <w:ilvl w:val="0"/>
          <w:numId w:val="9"/>
        </w:numPr>
        <w:shd w:val="clear" w:color="auto" w:fill="auto"/>
        <w:tabs>
          <w:tab w:pos="931" w:val="left"/>
        </w:tabs>
        <w:bidi w:val="0"/>
        <w:spacing w:before="0" w:line="240" w:lineRule="auto"/>
        <w:ind w:left="0" w:right="0" w:firstLine="560"/>
        <w:jc w:val="both"/>
      </w:pPr>
      <w:r>
        <w:rPr>
          <w:color w:val="000000"/>
          <w:spacing w:val="0"/>
          <w:w w:val="100"/>
          <w:position w:val="0"/>
          <w:shd w:val="clear" w:color="auto" w:fill="auto"/>
          <w:lang w:val="ru-RU" w:eastAsia="ru-RU" w:bidi="ru-RU"/>
        </w:rPr>
        <w:t xml:space="preserve">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w:t>
      </w:r>
      <w:r>
        <w:rPr>
          <w:color w:val="000000"/>
          <w:spacing w:val="0"/>
          <w:w w:val="100"/>
          <w:position w:val="0"/>
          <w:shd w:val="clear" w:color="auto" w:fill="auto"/>
          <w:lang w:val="ru-RU" w:eastAsia="ru-RU" w:bidi="ru-RU"/>
        </w:rPr>
        <w:t>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pPr>
        <w:pStyle w:val="Style12"/>
        <w:keepNext w:val="0"/>
        <w:keepLines w:val="0"/>
        <w:widowControl w:val="0"/>
        <w:numPr>
          <w:ilvl w:val="0"/>
          <w:numId w:val="9"/>
        </w:numPr>
        <w:shd w:val="clear" w:color="auto" w:fill="auto"/>
        <w:tabs>
          <w:tab w:pos="1013"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pPr>
        <w:pStyle w:val="Style12"/>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Комиссией Еврейского УФАС России установлено, что в Заказчиком в извещении о проведении электронного аукциона № 0878600000923000015 описание объекта закупки указано без использования единой информационной системы, в нарушение п.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и ч. 1 ст. 33 Закона о контрактной системы, что образуют состав административного правонарушения, предусмотренного частью 1.4 статьи 7.30 КоАП РФ</w:t>
      </w:r>
    </w:p>
    <w:p>
      <w:pPr>
        <w:pStyle w:val="Style12"/>
        <w:keepNext w:val="0"/>
        <w:keepLines w:val="0"/>
        <w:widowControl w:val="0"/>
        <w:numPr>
          <w:ilvl w:val="0"/>
          <w:numId w:val="13"/>
        </w:numPr>
        <w:shd w:val="clear" w:color="auto" w:fill="auto"/>
        <w:tabs>
          <w:tab w:pos="1099"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 xml:space="preserve">В соответствии с ч. 4 ст. 31 Закона о контрактной системе в случае установления Правительством Российской Федерации в соответствии с </w:t>
      </w:r>
      <w:r>
        <w:rPr>
          <w:color w:val="0000FF"/>
          <w:spacing w:val="0"/>
          <w:w w:val="100"/>
          <w:position w:val="0"/>
          <w:shd w:val="clear" w:color="auto" w:fill="auto"/>
          <w:lang w:val="ru-RU" w:eastAsia="ru-RU" w:bidi="ru-RU"/>
        </w:rPr>
        <w:t xml:space="preserve">частью 2 </w:t>
      </w:r>
      <w:r>
        <w:rPr>
          <w:color w:val="000000"/>
          <w:spacing w:val="0"/>
          <w:w w:val="100"/>
          <w:position w:val="0"/>
          <w:shd w:val="clear" w:color="auto" w:fill="auto"/>
          <w:lang w:val="ru-RU" w:eastAsia="ru-RU" w:bidi="ru-RU"/>
        </w:rPr>
        <w:t>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2"/>
        <w:keepNext w:val="0"/>
        <w:keepLines w:val="0"/>
        <w:widowControl w:val="0"/>
        <w:numPr>
          <w:ilvl w:val="0"/>
          <w:numId w:val="15"/>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2"/>
        <w:keepNext w:val="0"/>
        <w:keepLines w:val="0"/>
        <w:widowControl w:val="0"/>
        <w:numPr>
          <w:ilvl w:val="0"/>
          <w:numId w:val="15"/>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15"/>
        </w:numPr>
        <w:shd w:val="clear" w:color="auto" w:fill="auto"/>
        <w:tabs>
          <w:tab w:pos="10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2"/>
        <w:keepNext w:val="0"/>
        <w:keepLines w:val="0"/>
        <w:widowControl w:val="0"/>
        <w:numPr>
          <w:ilvl w:val="0"/>
          <w:numId w:val="1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Постановление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ПП РФ от 29.12.2021</w:t>
      </w:r>
    </w:p>
    <w:p>
      <w:pPr>
        <w:pStyle w:val="Style12"/>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 2571) устанавливает дополнительные требования к участникам закупки в соответствии с Законом о контрактной системе, а также определяет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Еврейского УФАС России установлено, что в сформированном в Единой информационной системе в сфере закупок извещении о проведении электронного аукциона № 0878600000923000015 в разделе "Преимущества, требования к участникам" указаны требования к участникам: Требования в соответствии с позицией 17 раздела III приложения к ПП РФ от 29.12.2021 № 2571 к работам по строительству, реконструкции, капитальному ремонту автомобильной дороги.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Объектом закупки электронного аукциона № 0878600000923000015 является выполнение мероприятий по текущему ремонту элементов улично-дорожной сети на территории муниципального образования «Смидовичское городское поселение» Смидовичского муниципального района Еврейской автономной области (текущий ремонт пешеходных переходов вблизи образовательных учреждений в пос. Смидович, с. Аур с. Песчаное (1 этап) и текущий ремонт автомобильной дороги ул. Дзержинского в пос. Смидович), что относится к работам по ремонту, содержанию автомобильной дороги. Требования к участникам закупки в данном случае должны быть установлены в соответствии с позицией 18 раздела III приложения к ПП РФ от 29.12.2021 № 2571.</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Заказчиком в нарушение ч. 4 ст. 31 Закона о контрактной системе и ПП РФ от 29.12.2021 № 2571 неверно установлены требования к участникам закупки, что образуют состав административного правонарушения, предусмотренного частью 1.4 статьи 7.30 КоАП РФ.</w:t>
      </w:r>
    </w:p>
    <w:p>
      <w:pPr>
        <w:pStyle w:val="Style12"/>
        <w:keepNext w:val="0"/>
        <w:keepLines w:val="0"/>
        <w:widowControl w:val="0"/>
        <w:numPr>
          <w:ilvl w:val="0"/>
          <w:numId w:val="13"/>
        </w:numPr>
        <w:shd w:val="clear" w:color="auto" w:fill="auto"/>
        <w:tabs>
          <w:tab w:pos="1099"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Комиссией Еврейского УФАС России установлено, что в извещении о проведении электронного аукциона № 0878600000923000015 отсутствует электронный документ с требованиями к содержанию, составу заявки на участие в закупке в соответствии с Законом о контрактной системе и инструкция по ее заполнению.</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неразмещение вышеуказанного электронного документа Заказчиком является нарушением п. 3 ч. 2 ст. 42 Закона о контрактной системе,ч то образуют состав административного правонарушения, предусмотренного частью 1.4 статьи 7.30 КоАП РФ.</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ст. 99, 106, 107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2"/>
        <w:keepNext w:val="0"/>
        <w:keepLines w:val="0"/>
        <w:widowControl w:val="0"/>
        <w:numPr>
          <w:ilvl w:val="0"/>
          <w:numId w:val="17"/>
        </w:numPr>
        <w:shd w:val="clear" w:color="auto" w:fill="auto"/>
        <w:tabs>
          <w:tab w:pos="102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Жалобу Сысоева Константина Владимировича на действия муниципального заказчика - МКУ «Чистый поселок МО «Смидовичское городское поселение» Смидовичского муниципального района ЕАО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допущенных при осуществлении закупки для муниципальных нужд, путем проведения электронного аукциона, объектом которого является: «Выполнение мероприятий по текущему ремонту элементов улично-дорожной сети на территории муниципального образования «Смидовичское городское поселение» Смидовичского муниципального района Еврейской автономной области (текущий ремонт пешеходных переходов вблизи образовательных учреждений в пос. Смидович, с. Аур с. Песчаное (1 этап) и текущий ремонт автомобильной дороги ул. Дзержинского в пос. Смидович)» (извещение от 20.10.2023 № 0878600000923000015), признать обоснованной.</w:t>
      </w:r>
    </w:p>
    <w:p>
      <w:pPr>
        <w:pStyle w:val="Style12"/>
        <w:keepNext w:val="0"/>
        <w:keepLines w:val="0"/>
        <w:widowControl w:val="0"/>
        <w:numPr>
          <w:ilvl w:val="0"/>
          <w:numId w:val="17"/>
        </w:numPr>
        <w:shd w:val="clear" w:color="auto" w:fill="auto"/>
        <w:tabs>
          <w:tab w:pos="102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действия муниципального заказчика - МКУ «Чистый поселок МО «Смидовичское городское поселение» Смидовичского муниципального района ЕАО нарушившими требования части 1 статьи 33, части 4 статьи 31, пункта 3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 п.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допущенных при осуществлении закупки для муниципальных нужд, путем проведения электронного аукциона, объектом которого является: «Выполнение мероприятий по текущему ремонту элементов улично-дорожной сети на территории муниципального образования «Смидовичское городское поселение» Смидовичского муниципального района Еврейской автономной области (текущий ремонт пешеходных переходов вблизи образовательных учреждений в пос. Смидович, с. Аур с. Песчаное (1 этап) и текущий ремонт автомобильной дороги ул. Дзержинского в пос. Смидович)» (извещение от 20.10.2023 № 0878600000923000015).</w:t>
      </w:r>
    </w:p>
    <w:p>
      <w:pPr>
        <w:pStyle w:val="Style12"/>
        <w:keepNext w:val="0"/>
        <w:keepLines w:val="0"/>
        <w:widowControl w:val="0"/>
        <w:numPr>
          <w:ilvl w:val="0"/>
          <w:numId w:val="17"/>
        </w:numPr>
        <w:shd w:val="clear" w:color="auto" w:fill="auto"/>
        <w:tabs>
          <w:tab w:pos="10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тем, что электронный аукцион признан несостоявшимся предписание не выдавать.</w:t>
      </w:r>
    </w:p>
    <w:p>
      <w:pPr>
        <w:pStyle w:val="Style12"/>
        <w:keepNext w:val="0"/>
        <w:keepLines w:val="0"/>
        <w:widowControl w:val="0"/>
        <w:numPr>
          <w:ilvl w:val="0"/>
          <w:numId w:val="17"/>
        </w:numPr>
        <w:shd w:val="clear" w:color="auto" w:fill="auto"/>
        <w:tabs>
          <w:tab w:pos="1033"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В соответствии с требованиями статьи 107 Федерального закона от 05.04.2013 № 44-ФЗ «О контрактной системе в сфере закупок товаров, работ, услуг для обеспечения государственных и муниципальных нужд» передать материалы дела должностному лицу, уполномоченному составлять протоколы по делам об административных правонарушениях, для решения вопроса о возбуждении дел об административных правонарушениях.</w:t>
      </w:r>
    </w:p>
    <w:p>
      <w:pPr>
        <w:pStyle w:val="Style12"/>
        <w:keepNext w:val="0"/>
        <w:keepLines w:val="0"/>
        <w:widowControl w:val="0"/>
        <w:shd w:val="clear" w:color="auto" w:fill="auto"/>
        <w:bidi w:val="0"/>
        <w:spacing w:before="0" w:after="280" w:line="240" w:lineRule="auto"/>
        <w:ind w:left="0" w:right="0" w:firstLine="740"/>
        <w:jc w:val="both"/>
        <w:sectPr>
          <w:footnotePr>
            <w:pos w:val="pageBottom"/>
            <w:numFmt w:val="decimal"/>
            <w:numRestart w:val="continuous"/>
          </w:footnotePr>
          <w:type w:val="continuous"/>
          <w:pgSz w:w="11900" w:h="16840"/>
          <w:pgMar w:top="589" w:right="538" w:bottom="1289" w:left="1100" w:header="0" w:footer="3" w:gutter="0"/>
          <w:cols w:space="720"/>
          <w:noEndnote/>
          <w:rtlGutter w:val="0"/>
          <w:docGrid w:linePitch="360"/>
        </w:sectPr>
      </w:pPr>
      <w:r>
        <w:rPr>
          <w:color w:val="000000"/>
          <w:spacing w:val="0"/>
          <w:w w:val="100"/>
          <w:position w:val="0"/>
          <w:shd w:val="clear" w:color="auto" w:fill="auto"/>
          <w:lang w:val="ru-RU" w:eastAsia="ru-RU" w:bidi="ru-RU"/>
        </w:rPr>
        <w:t>Решение может быть обжаловано в течение трех месяцев со дня его принятия в Арбитражный суд Еврейской автономной области.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spacing w:lineRule="exact" w:line="1"/>
        <w:rPr>
          <w:sz w:val="2"/>
          <w:szCs w:val="2"/>
        </w:rPr>
      </w:pPr>
      <w:r>
        <w:br w:type="column"/>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484" w:right="4343" w:bottom="9790" w:left="1164" w:header="0" w:footer="3" w:gutter="0"/>
          <w:cols w:num="2" w:space="889"/>
          <w:noEndnote/>
          <w:rtlGutter w:val="0"/>
          <w:docGrid w:linePitch="360"/>
        </w:sectPr>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760" w:right="0" w:firstLine="0"/>
        <w:jc w:val="left"/>
        <w:rPr>
          <w:sz w:val="12"/>
          <w:szCs w:val="12"/>
        </w:rPr>
      </w:pPr>
      <w:r>
        <w:rPr>
          <w:color w:val="E9E9E9"/>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9E9E9"/>
          <w:spacing w:val="0"/>
          <w:w w:val="100"/>
          <w:position w:val="0"/>
          <w:sz w:val="12"/>
          <w:szCs w:val="12"/>
          <w:shd w:val="clear" w:color="auto" w:fill="auto"/>
          <w:lang w:val="ru-RU" w:eastAsia="ru-RU" w:bidi="ru-RU"/>
        </w:rPr>
        <w:t>ЭП</w:t>
      </w:r>
    </w:p>
    <w:p>
      <w:pPr>
        <w:pStyle w:val="Style33"/>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Балобанов Павел Валерьевич</w:t>
      </w:r>
    </w:p>
    <w:p>
      <w:pPr>
        <w:pStyle w:val="Style33"/>
        <w:keepNext w:val="0"/>
        <w:keepLines w:val="0"/>
        <w:widowControl w:val="0"/>
        <w:shd w:val="clear" w:color="auto" w:fill="auto"/>
        <w:bidi w:val="0"/>
        <w:spacing w:before="0" w:after="0" w:line="240" w:lineRule="auto"/>
        <w:ind w:right="0" w:firstLine="0"/>
        <w:jc w:val="left"/>
      </w:pPr>
      <w:r>
        <mc:AlternateContent>
          <mc:Choice Requires="wps">
            <w:drawing>
              <wp:anchor distT="0" distB="0" distL="114300" distR="114300" simplePos="0" relativeHeight="125829379" behindDoc="0" locked="0" layoutInCell="1" allowOverlap="1">
                <wp:simplePos x="0" y="0"/>
                <wp:positionH relativeFrom="page">
                  <wp:posOffset>6024245</wp:posOffset>
                </wp:positionH>
                <wp:positionV relativeFrom="paragraph">
                  <wp:posOffset>76200</wp:posOffset>
                </wp:positionV>
                <wp:extent cx="1161415" cy="237490"/>
                <wp:wrapSquare wrapText="bothSides"/>
                <wp:docPr id="7" name="Shape 7"/>
                <a:graphic xmlns:a="http://schemas.openxmlformats.org/drawingml/2006/main">
                  <a:graphicData uri="http://schemas.microsoft.com/office/word/2010/wordprocessingShape">
                    <wps:wsp>
                      <wps:cNvSpPr txBox="1"/>
                      <wps:spPr>
                        <a:xfrm>
                          <a:ext cx="1161415" cy="2374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П.В. Балобанов</w:t>
                            </w:r>
                          </w:p>
                        </w:txbxContent>
                      </wps:txbx>
                      <wps:bodyPr wrap="none" lIns="0" tIns="0" rIns="0" bIns="0">
                        <a:noAutoFit/>
                      </wps:bodyPr>
                    </wps:wsp>
                  </a:graphicData>
                </a:graphic>
              </wp:anchor>
            </w:drawing>
          </mc:Choice>
          <mc:Fallback>
            <w:pict>
              <v:shape id="_x0000_s1033" type="#_x0000_t202" style="position:absolute;margin-left:474.35000000000002pt;margin-top:6.pt;width:91.450000000000003pt;height:18.699999999999999pt;z-index:-125829374;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П.В. Балобанов</w:t>
                      </w:r>
                    </w:p>
                  </w:txbxContent>
                </v:textbox>
                <w10:wrap type="square" anchorx="page"/>
              </v:shape>
            </w:pict>
          </mc:Fallback>
        </mc:AlternateConten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4393В7Е4635735РСВ9ГО30Г4ВА13750В</w:t>
      </w:r>
    </w:p>
    <w:p>
      <w:pPr>
        <w:pStyle w:val="Style33"/>
        <w:keepNext w:val="0"/>
        <w:keepLines w:val="0"/>
        <w:widowControl w:val="0"/>
        <w:shd w:val="clear" w:color="auto" w:fill="auto"/>
        <w:bidi w:val="0"/>
        <w:spacing w:before="0" w:after="22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15.12.2022 </w:t>
      </w:r>
      <w:r>
        <w:rPr>
          <w:color w:val="000000"/>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09.03.2024</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484" w:right="4218" w:bottom="9790" w:left="1164" w:header="0" w:footer="3" w:gutter="0"/>
          <w:cols w:space="720"/>
          <w:noEndnote/>
          <w:rtlGutter w:val="0"/>
          <w:docGrid w:linePitch="360"/>
        </w:sectPr>
      </w:pPr>
      <w:r>
        <w:drawing>
          <wp:anchor distT="12700" distB="0" distL="0" distR="1789430" simplePos="0" relativeHeight="125829381" behindDoc="0" locked="0" layoutInCell="1" allowOverlap="1">
            <wp:simplePos x="0" y="0"/>
            <wp:positionH relativeFrom="page">
              <wp:posOffset>2644140</wp:posOffset>
            </wp:positionH>
            <wp:positionV relativeFrom="paragraph">
              <wp:posOffset>12700</wp:posOffset>
            </wp:positionV>
            <wp:extent cx="365760" cy="5486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65760" cy="5486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3119755</wp:posOffset>
                </wp:positionH>
                <wp:positionV relativeFrom="paragraph">
                  <wp:posOffset>424180</wp:posOffset>
                </wp:positionV>
                <wp:extent cx="1276985" cy="100330"/>
                <wp:wrapNone/>
                <wp:docPr id="11" name="Shape 1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65000000000001pt;margin-top:33.399999999999999pt;width:100.55pt;height:7.9000000000000004pt;z-index:251657729;mso-wrap-distance-left:0;mso-wrap-distance-right:0;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113030</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8.9000000000000004pt;width:135.84999999999999pt;height:20.150000000000002pt;z-index:251657731;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3"/>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Ильенко Анастасия Михайловна</w:t>
      </w:r>
    </w:p>
    <w:p>
      <w:pPr>
        <w:pStyle w:val="Style33"/>
        <w:keepNext w:val="0"/>
        <w:keepLines w:val="0"/>
        <w:widowControl w:val="0"/>
        <w:shd w:val="clear" w:color="auto" w:fill="auto"/>
        <w:bidi w:val="0"/>
        <w:spacing w:before="0" w:after="0" w:line="240" w:lineRule="auto"/>
        <w:ind w:right="0" w:firstLine="0"/>
        <w:jc w:val="left"/>
      </w:pPr>
      <w:r>
        <mc:AlternateContent>
          <mc:Choice Requires="wps">
            <w:drawing>
              <wp:anchor distT="0" distB="0" distL="114300" distR="114300" simplePos="0" relativeHeight="125829382" behindDoc="0" locked="0" layoutInCell="1" allowOverlap="1">
                <wp:simplePos x="0" y="0"/>
                <wp:positionH relativeFrom="page">
                  <wp:posOffset>6139815</wp:posOffset>
                </wp:positionH>
                <wp:positionV relativeFrom="paragraph">
                  <wp:posOffset>76200</wp:posOffset>
                </wp:positionV>
                <wp:extent cx="1045210" cy="234950"/>
                <wp:wrapSquare wrapText="bothSides"/>
                <wp:docPr id="15" name="Shape 15"/>
                <a:graphic xmlns:a="http://schemas.openxmlformats.org/drawingml/2006/main">
                  <a:graphicData uri="http://schemas.microsoft.com/office/word/2010/wordprocessingShape">
                    <wps:wsp>
                      <wps:cNvSpPr txBox="1"/>
                      <wps:spPr>
                        <a:xfrm>
                          <a:ext cx="104521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А.М. Ильенко</w:t>
                            </w:r>
                          </w:p>
                        </w:txbxContent>
                      </wps:txbx>
                      <wps:bodyPr wrap="none" lIns="0" tIns="0" rIns="0" bIns="0">
                        <a:noAutoFit/>
                      </wps:bodyPr>
                    </wps:wsp>
                  </a:graphicData>
                </a:graphic>
              </wp:anchor>
            </w:drawing>
          </mc:Choice>
          <mc:Fallback>
            <w:pict>
              <v:shape id="_x0000_s1041" type="#_x0000_t202" style="position:absolute;margin-left:483.44999999999999pt;margin-top:6.pt;width:82.299999999999997pt;height:18.5pt;z-index:-125829371;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А.М. Ильенко</w:t>
                      </w:r>
                    </w:p>
                  </w:txbxContent>
                </v:textbox>
                <w10:wrap type="square" anchorx="page"/>
              </v:shape>
            </w:pict>
          </mc:Fallback>
        </mc:AlternateConten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7ВЗЕ400962Е6АВ524ЕЗВ904С7С368492</w:t>
      </w:r>
    </w:p>
    <w:p>
      <w:pPr>
        <w:pStyle w:val="Style33"/>
        <w:keepNext w:val="0"/>
        <w:keepLines w:val="0"/>
        <w:widowControl w:val="0"/>
        <w:shd w:val="clear" w:color="auto" w:fill="auto"/>
        <w:bidi w:val="0"/>
        <w:spacing w:before="0" w:after="48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13.03.2023 по </w:t>
      </w:r>
      <w:r>
        <w:rPr>
          <w:color w:val="6A6A6A"/>
          <w:spacing w:val="0"/>
          <w:w w:val="100"/>
          <w:position w:val="0"/>
          <w:shd w:val="clear" w:color="auto" w:fill="auto"/>
          <w:lang w:val="ru-RU" w:eastAsia="ru-RU" w:bidi="ru-RU"/>
        </w:rPr>
        <w:t>05.06.2024</w:t>
      </w:r>
    </w:p>
    <w:p>
      <w:pPr>
        <w:pStyle w:val="Style26"/>
        <w:keepNext w:val="0"/>
        <w:keepLines w:val="0"/>
        <w:widowControl w:val="0"/>
        <w:shd w:val="clear" w:color="auto" w:fill="auto"/>
        <w:bidi w:val="0"/>
        <w:spacing w:before="0" w:after="90" w:line="240" w:lineRule="auto"/>
        <w:ind w:left="368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760" w:firstLine="0"/>
        <w:jc w:val="right"/>
        <w:rPr>
          <w:sz w:val="12"/>
          <w:szCs w:val="12"/>
        </w:rPr>
      </w:pPr>
      <w:r>
        <w:rPr>
          <w:color w:val="FFFFFF"/>
          <w:spacing w:val="0"/>
          <w:w w:val="100"/>
          <w:position w:val="0"/>
          <w:sz w:val="12"/>
          <w:szCs w:val="12"/>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Свирид Сергей Николаевич</w:t>
      </w:r>
    </w:p>
    <w:p>
      <w:pPr>
        <w:pStyle w:val="Style33"/>
        <w:keepNext w:val="0"/>
        <w:keepLines w:val="0"/>
        <w:widowControl w:val="0"/>
        <w:shd w:val="clear" w:color="auto" w:fill="auto"/>
        <w:bidi w:val="0"/>
        <w:spacing w:before="0" w:after="0" w:line="240" w:lineRule="auto"/>
        <w:ind w:right="0" w:firstLine="0"/>
        <w:jc w:val="left"/>
      </w:pPr>
      <w:r>
        <mc:AlternateContent>
          <mc:Choice Requires="wps">
            <w:drawing>
              <wp:anchor distT="0" distB="0" distL="114300" distR="114300" simplePos="0" relativeHeight="125829384" behindDoc="0" locked="0" layoutInCell="1" allowOverlap="1">
                <wp:simplePos x="0" y="0"/>
                <wp:positionH relativeFrom="page">
                  <wp:posOffset>6243955</wp:posOffset>
                </wp:positionH>
                <wp:positionV relativeFrom="paragraph">
                  <wp:posOffset>76200</wp:posOffset>
                </wp:positionV>
                <wp:extent cx="944880" cy="237490"/>
                <wp:wrapSquare wrapText="bothSides"/>
                <wp:docPr id="17" name="Shape 17"/>
                <a:graphic xmlns:a="http://schemas.openxmlformats.org/drawingml/2006/main">
                  <a:graphicData uri="http://schemas.microsoft.com/office/word/2010/wordprocessingShape">
                    <wps:wsp>
                      <wps:cNvSpPr txBox="1"/>
                      <wps:spPr>
                        <a:xfrm>
                          <a:ext cx="944880" cy="2374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С.Н. Свирид</w:t>
                            </w:r>
                          </w:p>
                        </w:txbxContent>
                      </wps:txbx>
                      <wps:bodyPr wrap="none" lIns="0" tIns="0" rIns="0" bIns="0">
                        <a:noAutoFit/>
                      </wps:bodyPr>
                    </wps:wsp>
                  </a:graphicData>
                </a:graphic>
              </wp:anchor>
            </w:drawing>
          </mc:Choice>
          <mc:Fallback>
            <w:pict>
              <v:shape id="_x0000_s1043" type="#_x0000_t202" style="position:absolute;margin-left:491.65000000000003pt;margin-top:6.pt;width:74.400000000000006pt;height:18.699999999999999pt;z-index:-125829369;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С.Н. Свирид</w:t>
                      </w:r>
                    </w:p>
                  </w:txbxContent>
                </v:textbox>
                <w10:wrap type="square" anchorx="page"/>
              </v:shape>
            </w:pict>
          </mc:Fallback>
        </mc:AlternateConten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00Е0С2ОРА2Е0В8СВ0СЕ722ЭЕАВВ13017С</w:t>
      </w:r>
    </w:p>
    <w:p>
      <w:pPr>
        <w:pStyle w:val="Style33"/>
        <w:keepNext w:val="0"/>
        <w:keepLines w:val="0"/>
        <w:widowControl w:val="0"/>
        <w:shd w:val="clear" w:color="auto" w:fill="auto"/>
        <w:bidi w:val="0"/>
        <w:spacing w:before="0" w:after="6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515151"/>
          <w:spacing w:val="0"/>
          <w:w w:val="100"/>
          <w:position w:val="0"/>
          <w:shd w:val="clear" w:color="auto" w:fill="auto"/>
          <w:lang w:val="ru-RU" w:eastAsia="ru-RU" w:bidi="ru-RU"/>
        </w:rPr>
        <w:t xml:space="preserve">27.04.2023 </w:t>
      </w:r>
      <w:r>
        <w:rPr>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20.07.2024</w:t>
      </w:r>
    </w:p>
    <w:sectPr>
      <w:footnotePr>
        <w:pos w:val="pageBottom"/>
        <w:numFmt w:val="decimal"/>
        <w:numRestart w:val="continuous"/>
      </w:footnotePr>
      <w:type w:val="continuous"/>
      <w:pgSz w:w="11900" w:h="16840"/>
      <w:pgMar w:top="1484" w:right="4218" w:bottom="1484" w:left="116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10128885</wp:posOffset>
              </wp:positionV>
              <wp:extent cx="3267710" cy="103505"/>
              <wp:wrapNone/>
              <wp:docPr id="1" name="Shape 1"/>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2023-1539</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97.55000000000007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2023-1539</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2023-1539</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2023-1539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20"/>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Arial" w:eastAsia="Arial" w:hAnsi="Arial" w:cs="Arial"/>
      <w:b w:val="0"/>
      <w:bCs w:val="0"/>
      <w:i w:val="0"/>
      <w:iCs w:val="0"/>
      <w:smallCaps w:val="0"/>
      <w:strike w:val="0"/>
      <w:color w:val="4460A2"/>
      <w:sz w:val="72"/>
      <w:szCs w:val="72"/>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таблице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Заголовок №1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Основной текст (3)_"/>
    <w:basedOn w:val="DefaultParagraphFont"/>
    <w:link w:val="Style26"/>
    <w:rPr>
      <w:rFonts w:ascii="Georgia" w:eastAsia="Georgia" w:hAnsi="Georgia" w:cs="Georgia"/>
      <w:b w:val="0"/>
      <w:bCs w:val="0"/>
      <w:i w:val="0"/>
      <w:iCs w:val="0"/>
      <w:smallCaps w:val="0"/>
      <w:strike w:val="0"/>
      <w:color w:val="2A2A2A"/>
      <w:sz w:val="11"/>
      <w:szCs w:val="11"/>
      <w:u w:val="none"/>
    </w:rPr>
  </w:style>
  <w:style w:type="character" w:customStyle="1" w:styleId="CharStyle29">
    <w:name w:val="Подпись к картинке_"/>
    <w:basedOn w:val="DefaultParagraphFont"/>
    <w:link w:val="Style28"/>
    <w:rPr>
      <w:rFonts w:ascii="Georgia" w:eastAsia="Georgia" w:hAnsi="Georgia" w:cs="Georgia"/>
      <w:b w:val="0"/>
      <w:bCs w:val="0"/>
      <w:i w:val="0"/>
      <w:iCs w:val="0"/>
      <w:smallCaps w:val="0"/>
      <w:strike w:val="0"/>
      <w:color w:val="2A2A2A"/>
      <w:sz w:val="11"/>
      <w:szCs w:val="11"/>
      <w:u w:val="none"/>
    </w:rPr>
  </w:style>
  <w:style w:type="character" w:customStyle="1" w:styleId="CharStyle34">
    <w:name w:val="Основной текст (2)_"/>
    <w:basedOn w:val="DefaultParagraphFont"/>
    <w:link w:val="Style33"/>
    <w:rPr>
      <w:rFonts w:ascii="Arial" w:eastAsia="Arial" w:hAnsi="Arial" w:cs="Arial"/>
      <w:b w:val="0"/>
      <w:bCs w:val="0"/>
      <w:i w:val="0"/>
      <w:iCs w:val="0"/>
      <w:smallCaps w:val="0"/>
      <w:strike w:val="0"/>
      <w:color w:val="2A2A2A"/>
      <w:sz w:val="12"/>
      <w:szCs w:val="12"/>
      <w:u w:val="none"/>
    </w:rPr>
  </w:style>
  <w:style w:type="paragraph" w:customStyle="1" w:styleId="Style2">
    <w:name w:val="Основной текст (6)"/>
    <w:basedOn w:val="Normal"/>
    <w:link w:val="CharStyle3"/>
    <w:pPr>
      <w:widowControl w:val="0"/>
      <w:shd w:val="clear" w:color="auto" w:fill="auto"/>
      <w:spacing w:after="200"/>
      <w:jc w:val="center"/>
    </w:pPr>
    <w:rPr>
      <w:rFonts w:ascii="Arial" w:eastAsia="Arial" w:hAnsi="Arial" w:cs="Arial"/>
      <w:b w:val="0"/>
      <w:bCs w:val="0"/>
      <w:i w:val="0"/>
      <w:iCs w:val="0"/>
      <w:smallCaps w:val="0"/>
      <w:strike w:val="0"/>
      <w:color w:val="4460A2"/>
      <w:sz w:val="72"/>
      <w:szCs w:val="72"/>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20" w:line="283"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5)"/>
    <w:basedOn w:val="Normal"/>
    <w:link w:val="CharStyle11"/>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Основной текст"/>
    <w:basedOn w:val="Normal"/>
    <w:link w:val="CharStyle13"/>
    <w:pPr>
      <w:widowControl w:val="0"/>
      <w:shd w:val="clear" w:color="auto" w:fill="auto"/>
      <w:spacing w:after="18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таблице"/>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Другое"/>
    <w:basedOn w:val="Normal"/>
    <w:link w:val="CharStyle22"/>
    <w:pPr>
      <w:widowControl w:val="0"/>
      <w:shd w:val="clear" w:color="auto" w:fill="auto"/>
      <w:spacing w:after="18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Заголовок №1"/>
    <w:basedOn w:val="Normal"/>
    <w:link w:val="CharStyle24"/>
    <w:pPr>
      <w:widowControl w:val="0"/>
      <w:shd w:val="clear" w:color="auto" w:fill="auto"/>
      <w:ind w:firstLine="7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Основной текст (3)"/>
    <w:basedOn w:val="Normal"/>
    <w:link w:val="CharStyle27"/>
    <w:pPr>
      <w:widowControl w:val="0"/>
      <w:shd w:val="clear" w:color="auto" w:fill="auto"/>
      <w:spacing w:after="100"/>
      <w:ind w:left="1840"/>
    </w:pPr>
    <w:rPr>
      <w:rFonts w:ascii="Georgia" w:eastAsia="Georgia" w:hAnsi="Georgia" w:cs="Georgia"/>
      <w:b w:val="0"/>
      <w:bCs w:val="0"/>
      <w:i w:val="0"/>
      <w:iCs w:val="0"/>
      <w:smallCaps w:val="0"/>
      <w:strike w:val="0"/>
      <w:color w:val="2A2A2A"/>
      <w:sz w:val="11"/>
      <w:szCs w:val="11"/>
      <w:u w:val="none"/>
    </w:rPr>
  </w:style>
  <w:style w:type="paragraph" w:customStyle="1" w:styleId="Style28">
    <w:name w:val="Подпись к картинке"/>
    <w:basedOn w:val="Normal"/>
    <w:link w:val="CharStyle29"/>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33">
    <w:name w:val="Основной текст (2)"/>
    <w:basedOn w:val="Normal"/>
    <w:link w:val="CharStyle34"/>
    <w:pPr>
      <w:widowControl w:val="0"/>
      <w:shd w:val="clear" w:color="auto" w:fill="auto"/>
      <w:ind w:left="3040"/>
    </w:pPr>
    <w:rPr>
      <w:rFonts w:ascii="Arial" w:eastAsia="Arial" w:hAnsi="Arial" w:cs="Arial"/>
      <w:b w:val="0"/>
      <w:bCs w:val="0"/>
      <w:i w:val="0"/>
      <w:iCs w:val="0"/>
      <w:smallCaps w:val="0"/>
      <w:strike w:val="0"/>
      <w:color w:val="2A2A2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04.08.2023)"О контрактной системе в сфере закупок товаров, работ, услуг для обеспечения государственных и муниципальных нужд"(с изм. и доп., вступ. в силу с 15.08.2023)</dc:title>
  <dc:subject/>
  <dc:creator/>
  <cp:keywords/>
</cp:coreProperties>
</file>