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8015" cy="71945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8015" cy="7194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6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300" w:line="23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160000, г. Вологда, ул. Пушкинская, 25, тел. (8172)72-99-70; факс (8172)72-46-64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е-таИ: </w:t>
      </w:r>
      <w:r>
        <w:rPr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1о35(Жа8.цоу.ги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3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1Шр://уо1о§да.Га8.§оу.ги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71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«09» ноября 2023</w:t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Жуланов Е.А.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хЬи1апоу.85@таП.ги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БУЗ ВО «Вологодская областная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детская больница № 2»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Е-шаП: &lt;1е181уо_шт81@та11.ги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«ТЭК-Торг»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47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Е-таИ: Ье1р@1ек1ог§.ги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035/06/33-811/2023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tabs>
          <w:tab w:pos="8506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«03» ноября 2023 г.</w:t>
        <w:tab/>
        <w:t>г. Вологда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председатель комиссии Управления, заместитель начальника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Кузнецова Ю.Н. - член комиссии Управления, старший государственный инспектор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Шпякина М.А. - член комиссии Управления, ведущий специалист-эксперт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с использованием видеоконференцсвязи жалобу ИП Жуланова Е.А. (далее - Заявитель) на положения извещения о проведении запроса котировок в электронной форме, предмет закупки - поставка медицинских изделий (шприцы общего назначения), извещение № 0330300002623000098 (далее - запрос котировок, закупка),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- БУЗ ВО «Вологодская областная детская больница № 2», при участии,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Заявителя,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Заказчика,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представителя ООО «ПРОФИЛАЙН» (Участник закупки, Победитель электронного аукциона),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27.10.2023 в Управление Федеральной антимонопольной службы по Вологодской области (далее - Управление) посредством единой информационной системы в сфере закупок (далее - ЕИС) поступила жалоба Заявителя на положения извещения о проведении запроса котировок,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надлежащий срок, а также соответствует требованиям, предусмотренным ст. 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обжалует положения извещения о проведении запроса котировок.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при описании объекта закупки Заказчиком неправомерно установлены следущие требования: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всем четырем позициям закупаемого товара, Заказчиком установлен показатель «Игла в комплекте» со значением &gt;1 (по первой, третьей и четвертой позициям) и &gt;2 (по второй позиции) и единицами измерения «Штука», однако, в Каталоге товаров, работ и услуг для обеспечения государственных и муниципальных нужд (далее - КТРУ) значение данного показателя указано следующим образом - «Одна и более» (по первой, третьей и четвертой позициям) и «Две и более» (по второй позиции), кроме того, в КТРУ отсутствует единица измерения «Штука»;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всем четырем позициям закупаемого товара Заказчиком установлен показатель «Градуировка шкалы» со значением &lt;0,1, однако, данное значение показателя, по мнению Заявителя, противоречит требованиям ГОСТ 180 7886-1-2011;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второй позиции Заказчиком установлен показатель «Плоская заточка иглы 1 с углом 40°±2°», который не предусмотрен КТРУ и приводит к ограничению конкуренции, так как данные шприцы производятся в Российской Федерации единственным производителем - ООО «Паскаль Медикал» (Московская обл., г. Дубна), по регистрационному удостоверению от 01.02.2021 года№ РЗН 2018/7245.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возражения на жалобу, согласно которым, жалоба является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Рассмотрение жалобы состоялось 02.11.2023 в 11:00 с использованием видео</w:t>
        <w:softHyphen/>
        <w:t>конференц-связи.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Председателем комиссии Управления в целях выяснения обстоятельств, имеющих значение для принятия решения, объявлен перерыв в рассмотрении жалобы до 03.11.2023 в 14:00.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После перерыва от Заявителя, Заказчика и ООО «ПРОФИЛАЙН» поступили дополнительные письменные пояснения.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Управления, рассмотрев представленные материалы в их совокупности, заслушав представителей Заявителя, Заказчика и ООО «ПРОФИЛАЙН», пришла к следующему выводу.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23.10.2023 в ЕИС размещено извещение № 0330300002623000098 о проведении запроса котировок от 23.10.2023.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контракта: 269 280,00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начала срока подачи заявок: 23.10.2023 в 09 ч. 50 мин.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5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заявок: 30.10.2023 в 09 ч. 00 мин.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исполнителя): 31.10.2023.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1, 2 ч. 1 ст. 33 Закона о контрактной системе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смысла п. 1,2 ч. 1, ч. 2 ст. 33 Закона о контрактной системе потребности заказчика являются определяющим фактором при установлении им соответствующих требований.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 осуществлении закупки заказчик вправе не только выбрать ее предмет, но и обязан определить его и описать в соответствии с нормами Закона о контрактной системе, именно таким образом, чтобы участник закупки смог подать заявку на участие в закупке, соответствующую объективным и обоснованным требованиям заказчика. При этом заказчик вправе в необходимой степени детализировать требования к товару, так как Закон о контрактной системе не содержит норм, ограничивающих право заказчика включать в документацию о закупке требования к объекту закупки, которые являются для него значимыми, так и норм, обязывающих заказчика устанавливать в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Техническом задании (Описании объекта закупки) установлены показатели, позволяющие определить соответствие закупаемых товаров установленным Заказчиком требованиям.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14 ч. 3 ст. 4 Закона о контрактной системе, ЕИС содержит в том числе КТРУ.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5 ст. 23 Закона о контрактной системе, формирование и ведение в ЕИС КТРУ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6 ст. 23 Закона о контрактной системе, порядок формирования и ведения в ЕИС КТРУ, а также правила использования КТРУ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Постановление № 145) утверждены Правила формирования и ведения в ЕИС КТРУ и Правила использования КТРУ.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2 Правил формирования и ведения в ЕИС КТРУ под КТРУ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ОКПД 2 и включающий в себя информацию в соответствии с настоящими Правилами.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4 Правил использования КТРУ заказчики обязаны применять информацию, включенную в позицию КТРУ в соответствии с пп. «б» - «г» и «е» - «з» п. 10 Правил формирования и ведения в ЕИС КТРУ, утвержденных Постановлением №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6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п. 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товара, работы, услуги в соответствии с положениями ст. 33 Закона о контрактной системе, которые не предусмотрены в позиции КТРУ, за исключением случаев: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осуществления закупки радиоэлектронной продукции, включенной в п.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10.07.2019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№ 925 и признании утратившими силу некоторых актов Правительства Российской Федерации» (далее - Постановление № 878),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5 ст. 33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6 Правил использования КТРУ в случае предоставления дополнительной информации, предусмотренной п.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КТРУ).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рассматриваемой закупке, описание объекта закупки осуществлено с использованием следующих кодов КТРУ: 32.50.13.110-00004568 - «Шприц общего назначения» (по первой, третьей и четвертой позициям), 32.50.13.110-00004579 - «Шприц общего назначения» (по второй позиции).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4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в описании объекта закупки установлен показатель «Игла в комплекте» со значением &gt;1 (по первой, третьей и четвертой позициям) и &gt;2 (по второй позиции) и единицами измерения «Штука».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КТРУ значение данного показателя указано следующим образом - «Одна и более» (по первой, третьей и четвертой позициям) и «Две и более» (по второй позиции), единицы измерения данного показателя в КТРУ отсутствуют.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Комиссия Управления установила, что в рассматриваемом случае значение, указанное цифрами, идентично значению, указанному буквами, подобное указание не противоречит информации, указанной в КТРУ. Относительно установления единиц измерения, необходимо отметить, что представляется очевидным, что под количеством игл, прилагаемых к шприцу, подразумевается их количество в штуках, следовательно,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указание единиц измерения - «Штука», также не противоречит требованиям действующего законодательства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первый довод Заявителя не нашел своего подтверждения.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4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Помимо использования КТРУ, Заказчиком при описании объекта закупки указана дополнительная информация, не предусмотренная позицией КТРУ, и в соответствии с п. 6 Правил использования КТРУ имеется соответствующее обоснование, в том числе в отношении показателей, оспариваемых Заявителем, так, например, в отношении такого показателя как «Градуировка шкалы» и его значения &lt;0,1, установлено следующее обоснование - «Обеспечивает точное дозирование лекарственных препаратов».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Возражениях и Дополнениях к Возражениям дополнительно сообщил, что указанная «Градуировка шкалы» является важной характеристикой для Заказчика, поскольку она обеспечивает точность дозирования лекарственнызх препаратов, назначаемых пациентам, среди которых есть дети от 0 лет, массой тела от 700 граммов.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указывалось ранее, согласно п. 2 ч. 1 ст. 33 Закона о контрактной системе,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данном случае Заказчиком соблюдены требования п. 2 ч. 1 ст. 33 Закона о контрактной системе и п. 6 Правил использования КТРУ. Необходимость использования спорной характеристики продиктована потребностью Заказчика и спецификой лечебного процесса.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второй довод Заявителя не нашел своего подтверждения.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4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отношении такого показателя как «Плоская заточка иглы 1 с углом 40°±2°» Заказчиком также установлено соответствующее обоснование - «Игла с плоской заточкой необходима для набора лекарственных препаратов из флаконов с резиновой пробкой, предотвращения вырезания материала пробки при прокалывании ее иглой и последующего попадания частиц резиновой пробки в шприц и введения их в пациента. Также плоская заточка иглы минимизирует риск ранения медицинского работника при смене игл в процессе подготовки к инъекции».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указывает Заказчик в Возражениях и Дополнениях к Возражениям, Заказчиком был проведен анализ рынка производителей товара, и по его результатам было установлено, что на сегодняшний день продукция минимум двух российских производителей соответствует требованиям, установленным в описании объекта закупки: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ООО «Паскаль Медикал»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АО «Медполимер ЛТД».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по результатам проведенного Заказчиком анализа официального сайта хакирк1.§оу.ги выявлены победители закупки, предлагавшие к поставке шприцы с двумя иглами, 1 иглой, имеющую плоскую заточку с углом 40°±2°, в частности: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60" w:val="left"/>
          <w:tab w:pos="2434" w:val="left"/>
          <w:tab w:pos="5194" w:val="left"/>
          <w:tab w:pos="6902" w:val="left"/>
          <w:tab w:pos="8976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закупке № 0142200001323005828 победителем признана ИП Ланцова, в контракте указано производство товара - Россия, поставлены шприцы № ФСР 2010/08843,</w:t>
        <w:tab/>
        <w:t>производитель</w:t>
        <w:tab/>
        <w:t>ООО</w:t>
        <w:tab/>
        <w:t>«Группа</w:t>
        <w:tab/>
        <w:t>СТК»;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ййр8://хакиркъеоу.ги/ерх/огс1ег/поНсе/еа20/у1еуу/8иррИег- ге8и118.Ыш1?ге^итЬег=0142200001323005 828;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закупке № 0131200001023002425 победитель ООО «Кейт», в контракте указан производитель Китай, РУ № ФСЗ 2011/09587, производитель «Бейджинг Форнёрс Медикал Эквипиент Ко Лтд»; йНр8://хакирк1.§оу.ги/ерх/соЩгас1/соЩгас1Сагс1/с1оситеЩ- 1п1о.111т1?гее8(гНишЬег=2361900542623000173&amp;соп1гас1:1п1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?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о1с1=81583621;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закупке № 0142200001322007598 победитель ООО «Экспо Мед», в контракте указано производство Россия, поставленные шприцы №ФСР 2010/08843, производитель ООО «Группа СТК»; Ы1р8://хакирк1.§оу.ги/ерх/соЩгас1/соЩгас1Сагс1/с1оситеЩ- тГо4Дт1?геез1гНитЬег=2636900102022000023&amp;соп1тас11пГо1(1=74595404;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закупке № 0369200006123000009 победитель ООО «Полимед», в контракте производство Россия, РУ №ФСР 2008/03253, производитель ООО «Стерин». Ийр8://2акирк1.§оу.ги/ерх/соп1гас1/соп1тас1Сагс1/с1оситеп1- 1пГо.к1т1?гее81гНитЬег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ru-RU" w:eastAsia="ru-RU" w:bidi="ru-RU"/>
        </w:rPr>
        <w:t>: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=2744804009423000013&amp;соп1гас11пГо1(1=82301261.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Указанные контракты исполнены сторонами, товар заказчиками принят. Отказов заказчиков от приемки товара и от исполнения контрактов не выявлено. Информация от производителей, размещенная в свободном доступе, не содержит информации о вариантах исполнения игл к шприцам. Между тем, сам факт неоднократной приемки разными лечебными учреждениями от разных поставщиков товара свидетельствует о возможности поставки шприцев с двумя иглами, иглой 1, имеющей плоскую заточку с углом 40°±2°.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представлено письмо от АО «МЕДПОЛИМЕР ЛТД» исх. б/н от 27.10.2023, которым АО «МЕДПОЛИМЕР ЛТД» сообщает, что не осуществляет комплектацию шприцев инъекционных однократного применения иглами с плоской заточкой. Также Заявителем представлено письмо от АО «МЕДПОЛИМЕР ЛТД» исх. № 25 от 02.11.2023, которым АО «МЕДПОЛИМЕР ЛТД» сообщает, что изготавливает шприцы инъекционные однократного применения по ТУ 32.50.13-001-25597097-2005, РУ ФСР 2010/07477 от 17.11.2020 исключительно с иглами с трехгранной заточкой, шприцы с иглами плоской заточкой по данному регистрационному удостоверению никогда не производились и в настоящее время не производятся.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Однако, комиссия Управления отмечает, что Заявителем не опровергнута информация о соответствии описанию объекта закупки шприцев производства иных производителей, кроме АО «МЕДПОЛИМЕР ЛТД».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по общему правилу указание заказчиком в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 Нарушением ст. 33 Закона о контрактной системе может являться включение заказчиком в документацию требований к закупаемому товару, свидетельствующих о его конкретном производителе, при отсутствии специфики использования такого товара (п. 1 и 2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Российской Федерации 28.06.2017).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Указанная позиция подтверждается судебной практикой - Определение Верховного суда Российской Федерации от 19.07.2023 № 304-ЭС23-11929 по делу № А45-22213/2022, Решение Арбитражного суда Новосибирской области от 01.10.2022 по делу № А45-22213/2022.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не представлено доказательств невозможности приобретения товара, соответствующего требованиям извещения об осуществлении закупки, а также свидетельствующих о том, что содержащиеся в описании объекта закупки положения создали преимущество отдельным участникам перед другими либо являются непреодолимыми для потенциальных участников закупки, в том числе для Заявителя.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комиссией Управления установлено, что описание объекта закупки сформировано в соответствии с требованиями ст. 33 Закона о контрактной системе, с соблюдением требований п. 6 Правил использования КТРУ. Характеристики поставляемого товара установлены в соответствии с потребностью Заказчика. Третий довод Заявителя не нашел своего подтверждения.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15 ст. 99 Закона о контрактной системе, комиссия Управления провела внеплановую проверку, по результатам которой нарушений не установлено.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Управления, руководствуясь ст. ст. 99, 106 Закона о контрактной системе,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ИП Жуланова Е.А.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Требование о приостановке определения поставщика (подрядчика, исполнителя) в части подписания контракта, установленное Управлением на основании ч. 7 ст. 106 Закона о контрактной системе, отменить.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459" w:val="left"/>
        </w:tabs>
        <w:bidi w:val="0"/>
        <w:spacing w:before="0" w:after="28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  <w:tab/>
        <w:t>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371475" distL="114300" distR="114300" simplePos="0" relativeHeight="125829378" behindDoc="0" locked="0" layoutInCell="1" allowOverlap="1">
                <wp:simplePos x="0" y="0"/>
                <wp:positionH relativeFrom="page">
                  <wp:posOffset>5635625</wp:posOffset>
                </wp:positionH>
                <wp:positionV relativeFrom="margin">
                  <wp:posOffset>2761615</wp:posOffset>
                </wp:positionV>
                <wp:extent cx="1195070" cy="189230"/>
                <wp:wrapSquare wrapText="left"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И.А. Смышляева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43.75pt;margin-top:217.45000000000002pt;width:94.100000000000009pt;height:14.9pt;z-index:-125829375;mso-wrap-distance-left:9.pt;mso-wrap-distance-right:9.pt;mso-wrap-distance-bottom:29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И.А. Смышляева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65760" distB="0" distL="151130" distR="114300" simplePos="0" relativeHeight="125829380" behindDoc="0" locked="0" layoutInCell="1" allowOverlap="1">
                <wp:simplePos x="0" y="0"/>
                <wp:positionH relativeFrom="page">
                  <wp:posOffset>5672455</wp:posOffset>
                </wp:positionH>
                <wp:positionV relativeFrom="margin">
                  <wp:posOffset>3127375</wp:posOffset>
                </wp:positionV>
                <wp:extent cx="1158240" cy="194945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Ю.Н. Кузнецова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46.65000000000003pt;margin-top:246.25pt;width:91.200000000000003pt;height:15.35pt;z-index:-125829373;mso-wrap-distance-left:11.9pt;mso-wrap-distance-top:28.800000000000001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Ю.Н. Кузнецова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2807335</wp:posOffset>
            </wp:positionH>
            <wp:positionV relativeFrom="margin">
              <wp:posOffset>2288540</wp:posOffset>
            </wp:positionV>
            <wp:extent cx="3084830" cy="166433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084830" cy="16643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Шпякина</w:t>
      </w:r>
    </w:p>
    <w:sectPr>
      <w:headerReference w:type="default" r:id="rId9"/>
      <w:headerReference w:type="first" r:id="rId10"/>
      <w:footnotePr>
        <w:pos w:val="pageBottom"/>
        <w:numFmt w:val="decimal"/>
        <w:numRestart w:val="continuous"/>
      </w:footnotePr>
      <w:pgSz w:w="11900" w:h="16840"/>
      <w:pgMar w:top="1051" w:right="1066" w:bottom="953" w:left="1070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6766560</wp:posOffset>
              </wp:positionH>
              <wp:positionV relativeFrom="page">
                <wp:posOffset>429260</wp:posOffset>
              </wp:positionV>
              <wp:extent cx="52070" cy="8826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32.79999999999995pt;margin-top:33.799999999999997pt;width:4.0999999999999996pt;height:6.95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130"/>
      <w:ind w:left="23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