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48585" distL="1165860" distR="1126490" simplePos="0" relativeHeight="125829378" behindDoc="0" locked="0" layoutInCell="1" allowOverlap="1">
            <wp:simplePos x="0" y="0"/>
            <wp:positionH relativeFrom="page">
              <wp:posOffset>1776730</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789305" distL="114300" distR="132715" simplePos="0" relativeHeight="125829379" behindDoc="0" locked="0" layoutInCell="1" allowOverlap="1">
                <wp:simplePos x="0" y="0"/>
                <wp:positionH relativeFrom="page">
                  <wp:posOffset>725170</wp:posOffset>
                </wp:positionH>
                <wp:positionV relativeFrom="paragraph">
                  <wp:posOffset>728980</wp:posOffset>
                </wp:positionV>
                <wp:extent cx="2578735" cy="1755775"/>
                <wp:wrapSquare wrapText="right"/>
                <wp:docPr id="3" name="Shape 3"/>
                <a:graphic xmlns:a="http://schemas.openxmlformats.org/drawingml/2006/main">
                  <a:graphicData uri="http://schemas.microsoft.com/office/word/2010/wordprocessingShape">
                    <wps:wsp>
                      <wps:cNvSpPr txBox="1"/>
                      <wps:spPr>
                        <a:xfrm>
                          <a:ext cx="2578735" cy="1755775"/>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Курганской области</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М. Горького, 40, г. Курган, 640020</w:t>
                              <w:br/>
                              <w:t>тел. (3522) 46-39-55, факс (3522) 46-39-85</w:t>
                              <w:br/>
                              <w:t>е-тай: 1о45@Га8.§оу.ги</w:t>
                            </w:r>
                          </w:p>
                          <w:p>
                            <w:pPr>
                              <w:pStyle w:val="Style5"/>
                              <w:keepNext w:val="0"/>
                              <w:keepLines w:val="0"/>
                              <w:widowControl w:val="0"/>
                              <w:shd w:val="clear" w:color="auto" w:fill="auto"/>
                              <w:tabs>
                                <w:tab w:leader="underscore" w:pos="1762" w:val="left"/>
                                <w:tab w:leader="underscore" w:pos="3931" w:val="left"/>
                              </w:tabs>
                              <w:bidi w:val="0"/>
                              <w:spacing w:before="0" w:line="240" w:lineRule="auto"/>
                              <w:ind w:left="0" w:right="0" w:firstLine="0"/>
                              <w:jc w:val="center"/>
                            </w:pPr>
                            <w:r>
                              <w:rPr>
                                <w:b w:val="0"/>
                                <w:bCs w:val="0"/>
                                <w:spacing w:val="0"/>
                                <w:w w:val="100"/>
                                <w:position w:val="0"/>
                                <w:shd w:val="clear" w:color="auto" w:fill="auto"/>
                                <w:lang w:val="ru-RU" w:eastAsia="ru-RU" w:bidi="ru-RU"/>
                              </w:rPr>
                              <w:tab/>
                              <w:t xml:space="preserve"> №</w:t>
                              <w:tab/>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100000000000001pt;margin-top:57.399999999999999pt;width:203.05000000000001pt;height:138.25pt;z-index:-125829374;mso-wrap-distance-left:9.pt;mso-wrap-distance-top:56.399999999999999pt;mso-wrap-distance-right:10.450000000000001pt;mso-wrap-distance-bottom:62.14999999999999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Курганской области</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М. Горького, 40, г. Курган, 640020</w:t>
                        <w:br/>
                        <w:t>тел. (3522) 46-39-55, факс (3522) 46-39-85</w:t>
                        <w:br/>
                        <w:t>е-тай: 1о45@Га8.§оу.ги</w:t>
                      </w:r>
                    </w:p>
                    <w:p>
                      <w:pPr>
                        <w:pStyle w:val="Style5"/>
                        <w:keepNext w:val="0"/>
                        <w:keepLines w:val="0"/>
                        <w:widowControl w:val="0"/>
                        <w:shd w:val="clear" w:color="auto" w:fill="auto"/>
                        <w:tabs>
                          <w:tab w:leader="underscore" w:pos="1762" w:val="left"/>
                          <w:tab w:leader="underscore" w:pos="3931" w:val="left"/>
                        </w:tabs>
                        <w:bidi w:val="0"/>
                        <w:spacing w:before="0" w:line="240" w:lineRule="auto"/>
                        <w:ind w:left="0" w:right="0" w:firstLine="0"/>
                        <w:jc w:val="center"/>
                      </w:pPr>
                      <w:r>
                        <w:rPr>
                          <w:b w:val="0"/>
                          <w:bCs w:val="0"/>
                          <w:spacing w:val="0"/>
                          <w:w w:val="100"/>
                          <w:position w:val="0"/>
                          <w:shd w:val="clear" w:color="auto" w:fill="auto"/>
                          <w:lang w:val="ru-RU" w:eastAsia="ru-RU" w:bidi="ru-RU"/>
                        </w:rPr>
                        <w:tab/>
                        <w:t xml:space="preserve"> №</w:t>
                        <w:tab/>
                      </w:r>
                    </w:p>
                  </w:txbxContent>
                </v:textbox>
                <w10:wrap type="square" side="right" anchorx="page"/>
              </v:shape>
            </w:pict>
          </mc:Fallback>
        </mc:AlternateContent>
      </w:r>
      <w:r>
        <w:drawing>
          <wp:anchor distT="3081020" distB="0" distL="117475" distR="114300" simplePos="0" relativeHeight="125829381" behindDoc="0" locked="0" layoutInCell="1" allowOverlap="1">
            <wp:simplePos x="0" y="0"/>
            <wp:positionH relativeFrom="page">
              <wp:posOffset>728345</wp:posOffset>
            </wp:positionH>
            <wp:positionV relativeFrom="paragraph">
              <wp:posOffset>3093720</wp:posOffset>
            </wp:positionV>
            <wp:extent cx="2597150" cy="182880"/>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59715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725170</wp:posOffset>
                </wp:positionH>
                <wp:positionV relativeFrom="paragraph">
                  <wp:posOffset>2658110</wp:posOffset>
                </wp:positionV>
                <wp:extent cx="2578735" cy="130810"/>
                <wp:wrapNone/>
                <wp:docPr id="7" name="Shape 7"/>
                <a:graphic xmlns:a="http://schemas.openxmlformats.org/drawingml/2006/main">
                  <a:graphicData uri="http://schemas.microsoft.com/office/word/2010/wordprocessingShape">
                    <wps:wsp>
                      <wps:cNvSpPr txBox="1"/>
                      <wps:spPr>
                        <a:xfrm>
                          <a:ext cx="2578735" cy="13081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от</w:t>
                            </w:r>
                          </w:p>
                        </w:txbxContent>
                      </wps:txbx>
                      <wps:bodyPr lIns="0" tIns="0" rIns="0" bIns="0">
                        <a:noAutoFit/>
                      </wps:bodyPr>
                    </wps:wsp>
                  </a:graphicData>
                </a:graphic>
              </wp:anchor>
            </w:drawing>
          </mc:Choice>
          <mc:Fallback>
            <w:pict>
              <v:shape id="_x0000_s1033" type="#_x0000_t202" style="position:absolute;margin-left:57.100000000000001pt;margin-top:209.30000000000001pt;width:203.05000000000001pt;height:10.300000000000001pt;z-index:251657729;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от</w:t>
                      </w:r>
                    </w:p>
                  </w:txbxContent>
                </v:textbox>
                <w10:wrap anchorx="page"/>
              </v:shape>
            </w:pict>
          </mc:Fallback>
        </mc:AlternateContent>
      </w:r>
    </w:p>
    <w:p>
      <w:pPr>
        <w:pStyle w:val="Style10"/>
        <w:keepNext w:val="0"/>
        <w:keepLines w:val="0"/>
        <w:widowControl w:val="0"/>
        <w:shd w:val="clear" w:color="auto" w:fill="auto"/>
        <w:bidi w:val="0"/>
        <w:spacing w:before="0" w:after="0" w:line="240" w:lineRule="auto"/>
        <w:ind w:left="1000" w:right="0" w:firstLine="20"/>
        <w:jc w:val="left"/>
      </w:pPr>
      <w:r>
        <w:rPr>
          <w:color w:val="000000"/>
          <w:spacing w:val="0"/>
          <w:w w:val="100"/>
          <w:position w:val="0"/>
          <w:shd w:val="clear" w:color="auto" w:fill="auto"/>
          <w:lang w:val="ru-RU" w:eastAsia="ru-RU" w:bidi="ru-RU"/>
        </w:rPr>
        <w:t>Государственное бюджетное профессиональное образовательное учреждение "Курганский техникум строительных технологий и городского хозяйства"</w:t>
      </w:r>
    </w:p>
    <w:p>
      <w:pPr>
        <w:pStyle w:val="Style10"/>
        <w:keepNext w:val="0"/>
        <w:keepLines w:val="0"/>
        <w:widowControl w:val="0"/>
        <w:shd w:val="clear" w:color="auto" w:fill="auto"/>
        <w:bidi w:val="0"/>
        <w:spacing w:before="0" w:after="0" w:line="240" w:lineRule="auto"/>
        <w:ind w:left="0" w:right="0" w:firstLine="1000"/>
        <w:jc w:val="left"/>
      </w:pPr>
      <w:r>
        <w:rPr>
          <w:color w:val="000000"/>
          <w:spacing w:val="0"/>
          <w:w w:val="100"/>
          <w:position w:val="0"/>
          <w:shd w:val="clear" w:color="auto" w:fill="auto"/>
          <w:lang w:val="ru-RU" w:eastAsia="ru-RU" w:bidi="ru-RU"/>
        </w:rPr>
        <w:t>640003, Курганская обл., г. Курган, ул.</w:t>
      </w:r>
    </w:p>
    <w:p>
      <w:pPr>
        <w:pStyle w:val="Style10"/>
        <w:keepNext w:val="0"/>
        <w:keepLines w:val="0"/>
        <w:widowControl w:val="0"/>
        <w:shd w:val="clear" w:color="auto" w:fill="auto"/>
        <w:bidi w:val="0"/>
        <w:spacing w:before="0" w:after="0" w:line="240" w:lineRule="auto"/>
        <w:ind w:left="0" w:right="0" w:firstLine="1000"/>
        <w:jc w:val="left"/>
      </w:pPr>
      <w:r>
        <w:rPr>
          <w:color w:val="000000"/>
          <w:spacing w:val="0"/>
          <w:w w:val="100"/>
          <w:position w:val="0"/>
          <w:shd w:val="clear" w:color="auto" w:fill="auto"/>
          <w:lang w:val="ru-RU" w:eastAsia="ru-RU" w:bidi="ru-RU"/>
        </w:rPr>
        <w:t>Радионова, д.30</w:t>
      </w:r>
    </w:p>
    <w:p>
      <w:pPr>
        <w:pStyle w:val="Style10"/>
        <w:keepNext w:val="0"/>
        <w:keepLines w:val="0"/>
        <w:widowControl w:val="0"/>
        <w:shd w:val="clear" w:color="auto" w:fill="auto"/>
        <w:bidi w:val="0"/>
        <w:spacing w:before="0" w:after="280" w:line="240" w:lineRule="auto"/>
        <w:ind w:left="0" w:right="0" w:firstLine="1000"/>
        <w:jc w:val="left"/>
      </w:pPr>
      <w:r>
        <w:rPr>
          <w:color w:val="000000"/>
          <w:spacing w:val="0"/>
          <w:w w:val="100"/>
          <w:position w:val="0"/>
          <w:shd w:val="clear" w:color="auto" w:fill="auto"/>
          <w:lang w:val="ru-RU" w:eastAsia="ru-RU" w:bidi="ru-RU"/>
        </w:rPr>
        <w:t>ри-4@К81:.ги</w:t>
      </w:r>
    </w:p>
    <w:p>
      <w:pPr>
        <w:pStyle w:val="Style10"/>
        <w:keepNext w:val="0"/>
        <w:keepLines w:val="0"/>
        <w:widowControl w:val="0"/>
        <w:shd w:val="clear" w:color="auto" w:fill="auto"/>
        <w:bidi w:val="0"/>
        <w:spacing w:before="0" w:after="280" w:line="240" w:lineRule="auto"/>
        <w:ind w:left="1000" w:right="0" w:firstLine="20"/>
        <w:jc w:val="left"/>
      </w:pPr>
      <w:r>
        <w:rPr>
          <w:color w:val="000000"/>
          <w:spacing w:val="0"/>
          <w:w w:val="100"/>
          <w:position w:val="0"/>
          <w:shd w:val="clear" w:color="auto" w:fill="auto"/>
          <w:lang w:val="ru-RU" w:eastAsia="ru-RU" w:bidi="ru-RU"/>
        </w:rPr>
        <w:t>Общество с ограниченной ответственностью "ЛАДА ГРУПП" 443546, Самарская область, Волжский р-н, пгт. Стройкерамика, ул. Академика Дмитрия Козлова, д. 16, кв. 84 ада1163@уапдех.ги</w:t>
      </w:r>
    </w:p>
    <w:p>
      <w:pPr>
        <w:pStyle w:val="Style10"/>
        <w:keepNext w:val="0"/>
        <w:keepLines w:val="0"/>
        <w:widowControl w:val="0"/>
        <w:shd w:val="clear" w:color="auto" w:fill="auto"/>
        <w:bidi w:val="0"/>
        <w:spacing w:before="0" w:after="0" w:line="240" w:lineRule="auto"/>
        <w:ind w:left="5320" w:right="0" w:firstLine="0"/>
        <w:jc w:val="left"/>
      </w:pPr>
      <w:r>
        <w:rPr>
          <w:color w:val="000000"/>
          <w:spacing w:val="0"/>
          <w:w w:val="100"/>
          <w:position w:val="0"/>
          <w:shd w:val="clear" w:color="auto" w:fill="auto"/>
          <w:lang w:val="ru-RU" w:eastAsia="ru-RU" w:bidi="ru-RU"/>
        </w:rPr>
        <w:t>Государственное казенное учреждение "Центр закупок и бухгалтерского учета Курганской области"</w:t>
      </w:r>
    </w:p>
    <w:p>
      <w:pPr>
        <w:pStyle w:val="Style10"/>
        <w:keepNext w:val="0"/>
        <w:keepLines w:val="0"/>
        <w:widowControl w:val="0"/>
        <w:shd w:val="clear" w:color="auto" w:fill="auto"/>
        <w:bidi w:val="0"/>
        <w:spacing w:before="0" w:after="0" w:line="240" w:lineRule="auto"/>
        <w:ind w:left="5320" w:right="0" w:firstLine="0"/>
        <w:jc w:val="left"/>
      </w:pPr>
      <w:r>
        <w:rPr>
          <w:color w:val="000000"/>
          <w:spacing w:val="0"/>
          <w:w w:val="100"/>
          <w:position w:val="0"/>
          <w:shd w:val="clear" w:color="auto" w:fill="auto"/>
          <w:lang w:val="ru-RU" w:eastAsia="ru-RU" w:bidi="ru-RU"/>
        </w:rPr>
        <w:t>ул. Р. Зорге, д. 20, оф. 1, г. Курган, 640003</w:t>
      </w:r>
    </w:p>
    <w:p>
      <w:pPr>
        <w:pStyle w:val="Style10"/>
        <w:keepNext w:val="0"/>
        <w:keepLines w:val="0"/>
        <w:widowControl w:val="0"/>
        <w:shd w:val="clear" w:color="auto" w:fill="auto"/>
        <w:bidi w:val="0"/>
        <w:spacing w:before="0" w:after="840" w:line="240" w:lineRule="auto"/>
        <w:ind w:left="5320" w:right="0" w:firstLine="0"/>
        <w:jc w:val="left"/>
      </w:pPr>
      <w:r>
        <w:rPr>
          <w:color w:val="000000"/>
          <w:spacing w:val="0"/>
          <w:w w:val="100"/>
          <w:position w:val="0"/>
          <w:shd w:val="clear" w:color="auto" w:fill="auto"/>
          <w:lang w:val="ru-RU" w:eastAsia="ru-RU" w:bidi="ru-RU"/>
        </w:rPr>
        <w:t>идх@кигдапоЫ.ги</w:t>
      </w:r>
    </w:p>
    <w:p>
      <w:pPr>
        <w:pStyle w:val="Style15"/>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hd w:val="clear" w:color="auto" w:fill="auto"/>
          <w:lang w:val="ru-RU" w:eastAsia="ru-RU" w:bidi="ru-RU"/>
        </w:rPr>
        <w:t>Решение</w:t>
      </w:r>
      <w:bookmarkEnd w:id="0"/>
    </w:p>
    <w:p>
      <w:pPr>
        <w:pStyle w:val="Style15"/>
        <w:keepNext/>
        <w:keepLines/>
        <w:widowControl w:val="0"/>
        <w:shd w:val="clear" w:color="auto" w:fill="auto"/>
        <w:bidi w:val="0"/>
        <w:spacing w:before="0" w:after="0" w:line="240" w:lineRule="auto"/>
        <w:ind w:left="3200" w:right="0" w:hanging="2180"/>
        <w:jc w:val="left"/>
      </w:pPr>
      <w:r>
        <w:rPr>
          <w:color w:val="000000"/>
          <w:spacing w:val="0"/>
          <w:w w:val="100"/>
          <w:position w:val="0"/>
          <w:shd w:val="clear" w:color="auto" w:fill="auto"/>
          <w:lang w:val="ru-RU" w:eastAsia="ru-RU" w:bidi="ru-RU"/>
        </w:rPr>
        <w:t>по делу о нарушении законодательства о контрактной системе в сфере закупок № 045/06/106-531/2023</w:t>
      </w:r>
    </w:p>
    <w:p>
      <w:pPr>
        <w:pStyle w:val="Style10"/>
        <w:keepNext w:val="0"/>
        <w:keepLines w:val="0"/>
        <w:widowControl w:val="0"/>
        <w:shd w:val="clear" w:color="auto" w:fill="auto"/>
        <w:tabs>
          <w:tab w:pos="9082" w:val="left"/>
        </w:tabs>
        <w:bidi w:val="0"/>
        <w:spacing w:before="0" w:after="280" w:line="240" w:lineRule="auto"/>
        <w:ind w:left="0" w:right="0" w:firstLine="0"/>
        <w:jc w:val="both"/>
      </w:pPr>
      <w:r>
        <w:rPr>
          <w:color w:val="000000"/>
          <w:spacing w:val="0"/>
          <w:w w:val="100"/>
          <w:position w:val="0"/>
          <w:shd w:val="clear" w:color="auto" w:fill="auto"/>
          <w:lang w:val="ru-RU" w:eastAsia="ru-RU" w:bidi="ru-RU"/>
        </w:rPr>
        <w:t>03.11.2023 г.</w:t>
        <w:tab/>
        <w:t>г. Курган</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Курганской области по контролю в сфере закупок на территории Курганской области (далее - Комиссия Курганского УФАС России) в составе:</w:t>
      </w:r>
    </w:p>
    <w:p>
      <w:pPr>
        <w:pStyle w:val="Style10"/>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 xml:space="preserve">Заместитель Председателя Комиссии - </w:t>
      </w:r>
      <w:r>
        <w:rPr>
          <w:color w:val="000000"/>
          <w:spacing w:val="0"/>
          <w:w w:val="100"/>
          <w:position w:val="0"/>
          <w:shd w:val="clear" w:color="auto" w:fill="auto"/>
          <w:lang w:val="ru-RU" w:eastAsia="ru-RU" w:bidi="ru-RU"/>
        </w:rPr>
        <w:t>Стрижова И.М. - заместитель начальника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15"/>
        <w:keepNext/>
        <w:keepLines/>
        <w:widowControl w:val="0"/>
        <w:shd w:val="clear" w:color="auto" w:fill="auto"/>
        <w:bidi w:val="0"/>
        <w:spacing w:before="0" w:after="0" w:line="240" w:lineRule="auto"/>
        <w:ind w:left="0" w:right="0" w:firstLine="740"/>
        <w:jc w:val="both"/>
      </w:pPr>
      <w:bookmarkStart w:id="3" w:name="bookmark3"/>
      <w:r>
        <w:rPr>
          <w:color w:val="000000"/>
          <w:spacing w:val="0"/>
          <w:w w:val="100"/>
          <w:position w:val="0"/>
          <w:shd w:val="clear" w:color="auto" w:fill="auto"/>
          <w:lang w:val="ru-RU" w:eastAsia="ru-RU" w:bidi="ru-RU"/>
        </w:rPr>
        <w:t>Члены Комиссии:</w:t>
      </w:r>
      <w:bookmarkEnd w:id="3"/>
    </w:p>
    <w:p>
      <w:pPr>
        <w:pStyle w:val="Style10"/>
        <w:keepNext w:val="0"/>
        <w:keepLines w:val="0"/>
        <w:widowControl w:val="0"/>
        <w:shd w:val="clear" w:color="auto" w:fill="auto"/>
        <w:bidi w:val="0"/>
        <w:spacing w:before="0" w:after="940" w:line="240" w:lineRule="auto"/>
        <w:ind w:left="0" w:right="0" w:firstLine="740"/>
        <w:jc w:val="both"/>
      </w:pPr>
      <w:r>
        <w:rPr>
          <w:color w:val="000000"/>
          <w:spacing w:val="0"/>
          <w:w w:val="100"/>
          <w:position w:val="0"/>
          <w:shd w:val="clear" w:color="auto" w:fill="auto"/>
          <w:lang w:val="ru-RU" w:eastAsia="ru-RU" w:bidi="ru-RU"/>
        </w:rPr>
        <w:t>Мыльникова В.А. -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18"/>
        <w:keepNext/>
        <w:keepLines/>
        <w:widowControl w:val="0"/>
        <w:shd w:val="clear" w:color="auto" w:fill="auto"/>
        <w:bidi w:val="0"/>
        <w:spacing w:before="0" w:line="240" w:lineRule="auto"/>
        <w:ind w:left="0" w:right="0" w:firstLine="0"/>
        <w:jc w:val="left"/>
      </w:pPr>
      <w:bookmarkStart w:id="5" w:name="bookmark5"/>
      <w:r>
        <w:rPr>
          <w:color w:val="000000"/>
          <w:spacing w:val="0"/>
          <w:w w:val="100"/>
          <w:position w:val="0"/>
          <w:shd w:val="clear" w:color="auto" w:fill="auto"/>
          <w:lang w:val="ru-RU" w:eastAsia="ru-RU" w:bidi="ru-RU"/>
        </w:rPr>
        <w:t>111111111111111111111III</w:t>
      </w:r>
      <w:bookmarkEnd w:id="5"/>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Колпакова А.Ю. - старший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участии в заседании Комиссии Курганского УФАС России посредством видео-конференц-связи: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Генерального директора Общества с ограниченной ответственностью «Лада Групп», (далее - ООО «Лада Групп», Заявитель),</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личного участия представителей Заказчика - Государственное бюджетное профессиональное образовательное учреждение «Курганский техникум строительных технологий и городского хозяйства» (далее - ГБПОУ «Курганский техникум строительных технологий», Заказчик) Кузнецова А.Ю., действующего на основании доверенности № б/н от 20.04.2022, Осинцевой И.Г., действующей на основании доверенности № б/н от 1.11.2023,</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Уполномоченного учреждения - Государственного казенного учреждения «Центр закупок и бухгалтерского учета Курганской области» (далее - ГКУ «Центр закупок и бухгалтерского учета Курганской области», Уполномоченное учреждение) в лице представителя Колдина А.Н., действующего на основании доверенности № 7 от 27.07.2023,</w:t>
      </w:r>
    </w:p>
    <w:p>
      <w:pPr>
        <w:pStyle w:val="Style10"/>
        <w:keepNext w:val="0"/>
        <w:keepLines w:val="0"/>
        <w:widowControl w:val="0"/>
        <w:shd w:val="clear" w:color="auto" w:fill="auto"/>
        <w:bidi w:val="0"/>
        <w:spacing w:before="0" w:after="600" w:line="240" w:lineRule="auto"/>
        <w:ind w:left="0" w:right="0" w:firstLine="720"/>
        <w:jc w:val="both"/>
      </w:pPr>
      <w:r>
        <w:rPr>
          <w:color w:val="000000"/>
          <w:spacing w:val="0"/>
          <w:w w:val="100"/>
          <w:position w:val="0"/>
          <w:shd w:val="clear" w:color="auto" w:fill="auto"/>
          <w:lang w:val="ru-RU" w:eastAsia="ru-RU" w:bidi="ru-RU"/>
        </w:rPr>
        <w:t>рассмотрев жалобу ООО «Лада Групп» на действия Заказчика - ГБПОУ «Курганский техникум строительных технологий и городского хозяйства» при осуществлении закупки путем проведения электронного аукциона на поставку металлической мебели для «Мастерской слесарных работ» (извещение № 0843500000223006304) и осуществив внеплановую проверку, руководствуясь статьями 99, 105,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подпунктом «а» пункта 19 Постановления Правительства Российской Федерации от 01.10.2020 № 1576 о «Правилах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(далее - Правила),</w:t>
      </w:r>
    </w:p>
    <w:p>
      <w:pPr>
        <w:pStyle w:val="Style15"/>
        <w:keepNext/>
        <w:keepLines/>
        <w:widowControl w:val="0"/>
        <w:shd w:val="clear" w:color="auto" w:fill="auto"/>
        <w:bidi w:val="0"/>
        <w:spacing w:before="0" w:after="280" w:line="240" w:lineRule="auto"/>
        <w:ind w:left="0" w:right="0" w:firstLine="0"/>
        <w:jc w:val="center"/>
      </w:pPr>
      <w:bookmarkStart w:id="7" w:name="bookmark7"/>
      <w:r>
        <w:rPr>
          <w:color w:val="000000"/>
          <w:spacing w:val="0"/>
          <w:w w:val="100"/>
          <w:position w:val="0"/>
          <w:shd w:val="clear" w:color="auto" w:fill="auto"/>
          <w:lang w:val="ru-RU" w:eastAsia="ru-RU" w:bidi="ru-RU"/>
        </w:rPr>
        <w:t>УСТАНОВИЛА:</w:t>
      </w:r>
      <w:bookmarkEnd w:id="7"/>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пункту 1 Положения о Федеральной антимонопольной службе, утвержденного Постановлением Правительства РФ от 30.06.2004 № 331 (далее - Положение), Федеральная антимонопольная служба (ФАС России) является уполномоченным федеральным органом исполнительной власти, осуществляющим функции по контролю за соблюдением антимонопольного законодательства, законодательства в сфере закупок товаров, работ, услуг для обеспечения государственных и муниципальных нужд и в сфере закупок товаров, работ, услуг </w:t>
      </w:r>
      <w:r>
        <w:rPr>
          <w:color w:val="000000"/>
          <w:spacing w:val="0"/>
          <w:w w:val="100"/>
          <w:position w:val="0"/>
          <w:shd w:val="clear" w:color="auto" w:fill="auto"/>
          <w:lang w:val="ru-RU" w:eastAsia="ru-RU" w:bidi="ru-RU"/>
        </w:rPr>
        <w:t>отдельными видами юридических лиц, а также по согласованию применения закрытых способов определения поставщиков (подрядчиков, исполнителей).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пункта 3 Положения, Федеральная антимонопольная служба в своей деятельности руководствуется Конституцией Российской Федерации, федеральными конституционными законами, федеральными законами, актами Президента Российской Федерации и Правительства Российской Федерации, международными договорами Российской Федерации, а также настоящим Положением.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5.3.1.12 Положения, ФАС России осуществляет контроль за соблюдением заказчиками, контрактными службами, контрактными управляющими, комиссиями по осуществлению закупок и их членами, уполномоченными органами, уполномоченными учреждениями, специализированными организациями, операторами электронных площадок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5.3.9 Положения, ФАС России рассматривает жалобы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и приостанавливает определение поставщика (подрядчика, исполнителя) и заключение контракта до рассмотрения жалобы по существу в случаях и порядке, предусмотренных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4 Положения, Федеральная антимонопольная служба осуществляет свою деятельность непосредственно и через свои территориальные органы.</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6.1.7 Положения о территориальном органе Федеральной антимонопольной службы, утвержденного Приказом ФАС России от 23.07.2015 № 649/15, территориальный орган осуществляет контроль за соблюдением заказчиками, контрактными службами, контрактными управляющими, комиссиями по осуществлению закупок и их членами, уполномоченными органами, уполномоченными учреждениями, специализированными организациями, операторами электронных площадок, а также бюджетным учреждением либо иным юридическим лицом в соответствии с частями 1, 4 и 5 статьи 15 Федерального закона от 05.04.2013 № 44-ФЗ «О контрактной системе в сфере закупок товаров, работ, услуг для обеспечения государственных и муниципальных нужд»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27.10.2023 в Курганское УФАС России поступила жалоба ООО «Лада Групп» (вх. № 4648-ЭП/23) на действия Заказчика - ГБПОУ «Курганский техникум строительных технологий и городского хозяйства» при осуществлении закупки путем проведения электронного аукциона на поставку металической мебели для «Мастерской слесарных работ» (извещение № 0843500000226304).</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Жалоба Заявителя подана в надлежащий срок, а также соответствует требованиям, предусмотренным статьей 105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жалобе </w:t>
      </w:r>
      <w:r>
        <w:rPr>
          <w:b/>
          <w:bCs/>
          <w:color w:val="000000"/>
          <w:spacing w:val="0"/>
          <w:w w:val="100"/>
          <w:position w:val="0"/>
          <w:shd w:val="clear" w:color="auto" w:fill="auto"/>
          <w:lang w:val="ru-RU" w:eastAsia="ru-RU" w:bidi="ru-RU"/>
        </w:rPr>
        <w:t>Заявитель указывает</w:t>
      </w:r>
      <w:r>
        <w:rPr>
          <w:color w:val="000000"/>
          <w:spacing w:val="0"/>
          <w:w w:val="100"/>
          <w:position w:val="0"/>
          <w:shd w:val="clear" w:color="auto" w:fill="auto"/>
          <w:lang w:val="ru-RU" w:eastAsia="ru-RU" w:bidi="ru-RU"/>
        </w:rPr>
        <w:t>, что комиссией по осуществлению закупки, при рассмотрении заявок на участие в закупке, совершены действия, нарушающие требования</w:t>
      </w:r>
      <w:r>
        <w:rPr>
          <w:color w:val="000000"/>
          <w:spacing w:val="0"/>
          <w:w w:val="100"/>
          <w:position w:val="0"/>
          <w:shd w:val="clear" w:color="auto" w:fill="auto"/>
          <w:lang w:val="ru-RU" w:eastAsia="ru-RU" w:bidi="ru-RU"/>
        </w:rPr>
        <w:t xml:space="preserve"> </w:t>
      </w:r>
      <w:r>
        <w:rPr>
          <w:color w:val="000000"/>
          <w:spacing w:val="0"/>
          <w:w w:val="100"/>
          <w:position w:val="0"/>
          <w:u w:val="single"/>
          <w:shd w:val="clear" w:color="auto" w:fill="auto"/>
          <w:lang w:val="ru-RU" w:eastAsia="ru-RU" w:bidi="ru-RU"/>
        </w:rPr>
        <w:t>Закона</w:t>
      </w:r>
      <w:r>
        <w:rPr>
          <w:color w:val="000000"/>
          <w:spacing w:val="0"/>
          <w:w w:val="100"/>
          <w:position w:val="0"/>
          <w:shd w:val="clear" w:color="auto" w:fill="auto"/>
          <w:lang w:val="ru-RU" w:eastAsia="ru-RU" w:bidi="ru-RU"/>
        </w:rPr>
        <w:t xml:space="preserve"> о контрактной системе, Победителем данного электронного аукциона не подтверждено, что поставляемый товар, соответствует требованиям пункта 10 Постановления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Правительства РФ № 616).</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просит:</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Провести проверку Протокола подведения итогов определения поставщика от 23.10.2023 № ИЭФ1 на предмет наличия номера реестровой записи из реестра российской промышленной продукции в составе заявки ООО «Железная мебель», а так же других Участников Закупки.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 Вынести предписание о пересмотре заявок на участие в закупке на соответствие части 10 Постановления Правительства РФ от 30.04.2020 № 616.</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1 статьи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данной нормой права Курганским УФАС России у Заказчика были запрошены письменные пояснения с правовым и документальным обоснованием по доводам жалобы Заявителя.</w:t>
      </w:r>
    </w:p>
    <w:p>
      <w:pPr>
        <w:pStyle w:val="Style10"/>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Представитель Заказчика </w:t>
      </w:r>
      <w:r>
        <w:rPr>
          <w:color w:val="000000"/>
          <w:spacing w:val="0"/>
          <w:w w:val="100"/>
          <w:position w:val="0"/>
          <w:shd w:val="clear" w:color="auto" w:fill="auto"/>
          <w:lang w:val="ru-RU" w:eastAsia="ru-RU" w:bidi="ru-RU"/>
        </w:rPr>
        <w:t>в письменных пояснениях указал, что с доводами, изложенными Заявителем в жалобе, не согласен по основаниям, изложенным в возражениях, которые приобщены к материалам дела по рассмотрению данной жалобы.</w:t>
      </w:r>
    </w:p>
    <w:p>
      <w:pPr>
        <w:pStyle w:val="Style10"/>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Представитель Уполномоченного учреждения </w:t>
      </w:r>
      <w:r>
        <w:rPr>
          <w:color w:val="000000"/>
          <w:spacing w:val="0"/>
          <w:w w:val="100"/>
          <w:position w:val="0"/>
          <w:shd w:val="clear" w:color="auto" w:fill="auto"/>
          <w:lang w:val="ru-RU" w:eastAsia="ru-RU" w:bidi="ru-RU"/>
        </w:rPr>
        <w:t>с доводами, изложенными Заявителем в жалобе, не согласен по основаниям, изложенным в возражениях, которые приобщены к материалам дела по рассмотрению данной жалобы, и просит признать жалобу необоснованной.</w:t>
      </w:r>
    </w:p>
    <w:p>
      <w:pPr>
        <w:pStyle w:val="Style10"/>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Руководствуясь статьями 99, 105, 106 Закона о контрактной системе, Комиссией Курганского УФАС России установлено</w:t>
      </w:r>
      <w:r>
        <w:rPr>
          <w:color w:val="000000"/>
          <w:spacing w:val="0"/>
          <w:w w:val="100"/>
          <w:position w:val="0"/>
          <w:shd w:val="clear" w:color="auto" w:fill="auto"/>
          <w:lang w:val="ru-RU" w:eastAsia="ru-RU" w:bidi="ru-RU"/>
        </w:rPr>
        <w:t>, что 11.10.2023 на официальном сайте Единой информационной системы в сфере закупок (11Пр^///а1&lt;ир1&lt;1.до\'.П1) (далее - ЕИС) опубликовано извещение № 0843500000223006304) о проведении электронного аукциона на поставку металлической мебели для «Мастерской слесарных работ».</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Размещение осуществляется Уполномоченным учреждением - Государственным казенным учреждением «Центр закупок и бухгалтерского учета Курганской области».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- 1 485 305, 00 руб.</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и время окончания срока подачи заявок: 19.10.2023.</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- 23.10.2023.</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23.10.2023 в ЕИС размещен протокол подведения итогов определения поставщика (подрядчика, исполнителя) (№ 0843500000223006304), согласно которому по результатам рассмотрения заявок комиссией Заказчика принято решение о признании заявок № 23, 206, 135, 101, 131, 204, 9, 238, 58, 30 соответствующими требованиям. Победителем закупки признан участник с идентификационным номером 23. Заявка Заявителя с идентификационным номером 159, а также заявки № 217, 235, 96, 21 были отклонены по следующим основаниям: (п.5 ч.12 ст. 48) - непредставление информации и документов, предусмотренных п.5 ч. 1 ст. 43 Закона 44-ФЗ (Заявка на участие в закупке не соответствует извещению об осуществлении закупки и подлежит отклонению по основаниям, предусмотренным п. 5 ч. 12 ст. 48 ФЗ-44 - за непредставление информации и документов, предусмотренных п. 5 ч. 1 ст. 43 ФЗ-44.... В заявке участников не представлены сведения из реестра российской промышленной продукции (сведения из евразийского реестра промышленных товаров), заявка приравнена к заявке, в которой содержится предложение о поставке товара, происходящего из иностранного государства. Участники с идентификационными номерами 18, 176 были отклонены по следующим основаниям: (п.1 ч.12 ст. 48) - характеристики, предлагаемых участником закупки товаров не соответствуют требованиям, установленным извещением об осуществлении закупки.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Оценивая доводы Заявителя, изложенные в жалобе, а также документы и сведения, представленные Заказчиком, приобщенные к материалам дела по рассмотрению жалобы, Комиссия Курганского УФАС России приходит к следующим выводам.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Правоотношения, связанные с обеспечением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регламентируются Законом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статье 7 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Открытость и прозрачность информации, указанной в части 1 настоящей статьи, обеспечиваются, в частности, путем ее размещения в единой информационной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Частью 1 статьи 24 Закона о контрактной системе, определено, что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Конкурентными способами являются:</w:t>
      </w:r>
    </w:p>
    <w:p>
      <w:pPr>
        <w:pStyle w:val="Style10"/>
        <w:keepNext w:val="0"/>
        <w:keepLines w:val="0"/>
        <w:widowControl w:val="0"/>
        <w:numPr>
          <w:ilvl w:val="0"/>
          <w:numId w:val="1"/>
        </w:numPr>
        <w:shd w:val="clear" w:color="auto" w:fill="auto"/>
        <w:tabs>
          <w:tab w:pos="106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pPr>
        <w:pStyle w:val="Style10"/>
        <w:keepNext w:val="0"/>
        <w:keepLines w:val="0"/>
        <w:widowControl w:val="0"/>
        <w:numPr>
          <w:ilvl w:val="0"/>
          <w:numId w:val="1"/>
        </w:numPr>
        <w:shd w:val="clear" w:color="auto" w:fill="auto"/>
        <w:tabs>
          <w:tab w:pos="106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pPr>
        <w:pStyle w:val="Style10"/>
        <w:keepNext w:val="0"/>
        <w:keepLines w:val="0"/>
        <w:widowControl w:val="0"/>
        <w:numPr>
          <w:ilvl w:val="0"/>
          <w:numId w:val="1"/>
        </w:numPr>
        <w:shd w:val="clear" w:color="auto" w:fill="auto"/>
        <w:tabs>
          <w:tab w:pos="106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запрос котировок в электронной форме (далее - электронный запрос котировок) (часть 2 статьи 24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части 3 статьи 24 Закона о контрактной системе сказано, что для целей настоящего Федерального закона, электронный конкурс, электронный аукцион, электронный запрос котировок, закупка товара у единственного поставщика на </w:t>
      </w:r>
      <w:r>
        <w:rPr>
          <w:color w:val="000000"/>
          <w:spacing w:val="0"/>
          <w:w w:val="100"/>
          <w:position w:val="0"/>
          <w:shd w:val="clear" w:color="auto" w:fill="auto"/>
          <w:lang w:val="ru-RU" w:eastAsia="ru-RU" w:bidi="ru-RU"/>
        </w:rPr>
        <w:t>сумму, предусмотренную частью 12 статьи 93 настоящего Федерального закона, считаются также электронными процедурами, а закрытый электронный конкурс, закрытый электронный аукцион - закрытыми электронными процедурами.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 1 статьи 49 Закона о контрактной системе, гласит, что электронный аукцион начинается с размещения в единой информационной системе извещения об осуществлении закупки.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части 1 статьи 42 Закона о контрактной системе, перечислен перечень сведений, которые должны быть указаны в извещении при осуществлении закупки путем проведения открытых конкурентных способов.</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 2 статьи 42 Закона о контрактной системе, прямо указывает на то,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Style10"/>
        <w:keepNext w:val="0"/>
        <w:keepLines w:val="0"/>
        <w:widowControl w:val="0"/>
        <w:numPr>
          <w:ilvl w:val="0"/>
          <w:numId w:val="3"/>
        </w:numPr>
        <w:shd w:val="clear" w:color="auto" w:fill="auto"/>
        <w:tabs>
          <w:tab w:pos="112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описание объекта закупки в соответствии со статьей 33 настоящего Федерального закона;</w:t>
      </w:r>
    </w:p>
    <w:p>
      <w:pPr>
        <w:pStyle w:val="Style10"/>
        <w:keepNext w:val="0"/>
        <w:keepLines w:val="0"/>
        <w:widowControl w:val="0"/>
        <w:numPr>
          <w:ilvl w:val="0"/>
          <w:numId w:val="3"/>
        </w:numPr>
        <w:shd w:val="clear" w:color="auto" w:fill="auto"/>
        <w:tabs>
          <w:tab w:pos="112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обоснование начальной (максимальной) цены контракта. Заказчик, осуществляющий деятельность на территории иностранного государства, также указывает информацию о валюте, используемой для определения и обоснования начальной (максимальной) цены контракта, для оплаты поставленного товара, выполненной работы, оказанной услуги, и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поставленного товара, выполненной работы, оказанной услуги;</w:t>
      </w:r>
    </w:p>
    <w:p>
      <w:pPr>
        <w:pStyle w:val="Style10"/>
        <w:keepNext w:val="0"/>
        <w:keepLines w:val="0"/>
        <w:widowControl w:val="0"/>
        <w:numPr>
          <w:ilvl w:val="0"/>
          <w:numId w:val="3"/>
        </w:numPr>
        <w:shd w:val="clear" w:color="auto" w:fill="auto"/>
        <w:tabs>
          <w:tab w:pos="112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0"/>
        <w:keepNext w:val="0"/>
        <w:keepLines w:val="0"/>
        <w:widowControl w:val="0"/>
        <w:numPr>
          <w:ilvl w:val="0"/>
          <w:numId w:val="3"/>
        </w:numPr>
        <w:shd w:val="clear" w:color="auto" w:fill="auto"/>
        <w:tabs>
          <w:tab w:pos="112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порядок рассмотрения и оценки заявок на участие в конкурсах в соответствии с настоящим Федеральным законом;</w:t>
      </w:r>
    </w:p>
    <w:p>
      <w:pPr>
        <w:pStyle w:val="Style10"/>
        <w:keepNext w:val="0"/>
        <w:keepLines w:val="0"/>
        <w:widowControl w:val="0"/>
        <w:numPr>
          <w:ilvl w:val="0"/>
          <w:numId w:val="3"/>
        </w:numPr>
        <w:shd w:val="clear" w:color="auto" w:fill="auto"/>
        <w:tabs>
          <w:tab w:pos="185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проект контракта;</w:t>
      </w:r>
    </w:p>
    <w:p>
      <w:pPr>
        <w:pStyle w:val="Style10"/>
        <w:keepNext w:val="0"/>
        <w:keepLines w:val="0"/>
        <w:widowControl w:val="0"/>
        <w:numPr>
          <w:ilvl w:val="0"/>
          <w:numId w:val="3"/>
        </w:numPr>
        <w:shd w:val="clear" w:color="auto" w:fill="auto"/>
        <w:tabs>
          <w:tab w:pos="112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pPr>
        <w:pStyle w:val="Style10"/>
        <w:keepNext w:val="0"/>
        <w:keepLines w:val="0"/>
        <w:widowControl w:val="0"/>
        <w:numPr>
          <w:ilvl w:val="0"/>
          <w:numId w:val="5"/>
        </w:numPr>
        <w:shd w:val="clear" w:color="auto" w:fill="auto"/>
        <w:tabs>
          <w:tab w:pos="112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pPr>
        <w:pStyle w:val="Style10"/>
        <w:keepNext w:val="0"/>
        <w:keepLines w:val="0"/>
        <w:widowControl w:val="0"/>
        <w:numPr>
          <w:ilvl w:val="0"/>
          <w:numId w:val="5"/>
        </w:numPr>
        <w:shd w:val="clear" w:color="auto" w:fill="auto"/>
        <w:tabs>
          <w:tab w:pos="112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накопительно-ипотечной системе жилищного обеспечения военнослужащих»;</w:t>
      </w:r>
    </w:p>
    <w:p>
      <w:pPr>
        <w:pStyle w:val="Style10"/>
        <w:keepNext w:val="0"/>
        <w:keepLines w:val="0"/>
        <w:widowControl w:val="0"/>
        <w:numPr>
          <w:ilvl w:val="0"/>
          <w:numId w:val="5"/>
        </w:numPr>
        <w:shd w:val="clear" w:color="auto" w:fill="auto"/>
        <w:tabs>
          <w:tab w:pos="112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на выполнение работ, связанных с осуществлением регулярных перевозок пассажиров и багажа автомобильным транспортом и городским наземным </w:t>
      </w:r>
      <w:r>
        <w:rPr>
          <w:color w:val="000000"/>
          <w:spacing w:val="0"/>
          <w:w w:val="100"/>
          <w:position w:val="0"/>
          <w:shd w:val="clear" w:color="auto" w:fill="auto"/>
          <w:lang w:val="ru-RU" w:eastAsia="ru-RU" w:bidi="ru-RU"/>
        </w:rPr>
        <w:t>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11.10.2023 ГБПОУ «Курганский техникум строительных технологий и городского хозяйства» размещено извещение № 0843500000223006304 на поставку металлической мебели для «Мастерской слесарных работ». В соответствии с положениями части 2 статьи 42 в составе извещения размещены следующие документы:</w:t>
      </w:r>
    </w:p>
    <w:p>
      <w:pPr>
        <w:pStyle w:val="Style10"/>
        <w:keepNext w:val="0"/>
        <w:keepLines w:val="0"/>
        <w:widowControl w:val="0"/>
        <w:numPr>
          <w:ilvl w:val="0"/>
          <w:numId w:val="7"/>
        </w:numPr>
        <w:shd w:val="clear" w:color="auto" w:fill="auto"/>
        <w:tabs>
          <w:tab w:pos="102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Обоснование НМЦК;</w:t>
      </w:r>
    </w:p>
    <w:p>
      <w:pPr>
        <w:pStyle w:val="Style10"/>
        <w:keepNext w:val="0"/>
        <w:keepLines w:val="0"/>
        <w:widowControl w:val="0"/>
        <w:numPr>
          <w:ilvl w:val="0"/>
          <w:numId w:val="7"/>
        </w:numPr>
        <w:shd w:val="clear" w:color="auto" w:fill="auto"/>
        <w:tabs>
          <w:tab w:pos="102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Проект ГК;</w:t>
      </w:r>
    </w:p>
    <w:p>
      <w:pPr>
        <w:pStyle w:val="Style10"/>
        <w:keepNext w:val="0"/>
        <w:keepLines w:val="0"/>
        <w:widowControl w:val="0"/>
        <w:numPr>
          <w:ilvl w:val="0"/>
          <w:numId w:val="7"/>
        </w:numPr>
        <w:shd w:val="clear" w:color="auto" w:fill="auto"/>
        <w:tabs>
          <w:tab w:pos="102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Описание объекта закупки;</w:t>
      </w:r>
    </w:p>
    <w:p>
      <w:pPr>
        <w:pStyle w:val="Style10"/>
        <w:keepNext w:val="0"/>
        <w:keepLines w:val="0"/>
        <w:widowControl w:val="0"/>
        <w:numPr>
          <w:ilvl w:val="0"/>
          <w:numId w:val="7"/>
        </w:numPr>
        <w:shd w:val="clear" w:color="auto" w:fill="auto"/>
        <w:tabs>
          <w:tab w:pos="102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Требования к содержанию и составу заявки, инструкция.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требованиям правил описания объекта закупки, установленными частью 2 статьей 33 Закона о контрактной системе, заказчиком при описании объекта закупки указываются функциональные, технические и качественные характеристики.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данной нормой Заказчиком указаны характеристики закупаемого товара в Описании объекта закупки (Техническом задании).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подпунктом «а» пункта 2 части 1 статьи 43 Закона о контрактной системе, заявка на участие в закупке должна содержать характеристики предлагаемого участником закупки товара, соответствующие показателям, установленным в описании объекта закупки в соответствии с </w:t>
      </w:r>
      <w:r>
        <w:rPr>
          <w:color w:val="000000"/>
          <w:spacing w:val="0"/>
          <w:w w:val="100"/>
          <w:position w:val="0"/>
          <w:u w:val="single"/>
          <w:shd w:val="clear" w:color="auto" w:fill="auto"/>
          <w:lang w:val="ru-RU" w:eastAsia="ru-RU" w:bidi="ru-RU"/>
        </w:rPr>
        <w:t>частью 2 статьи 33</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настоящего Федерального закона, товарный знак (при наличии у товара товарного знака).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Аналогичные положения содержатся в приложении к извещению об осуществлении закупки «Требования к содержанию, составу заявки на участие в закупке, и инструкция по ее заполнению».</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силу </w:t>
      </w:r>
      <w:r>
        <w:rPr>
          <w:color w:val="000000"/>
          <w:spacing w:val="0"/>
          <w:w w:val="100"/>
          <w:position w:val="0"/>
          <w:u w:val="single"/>
          <w:shd w:val="clear" w:color="auto" w:fill="auto"/>
          <w:lang w:val="ru-RU" w:eastAsia="ru-RU" w:bidi="ru-RU"/>
        </w:rPr>
        <w:t>части 3 статьи 14</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u w:val="single"/>
          <w:shd w:val="clear" w:color="auto" w:fill="auto"/>
          <w:lang w:val="ru-RU" w:eastAsia="ru-RU" w:bidi="ru-RU"/>
        </w:rPr>
        <w:t>Пунктом 1</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Постановления Правительства РФ от 30.04.2020 № 616 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извещением о проведении электронного аукциона установлен запрет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в соответствии с </w:t>
      </w:r>
      <w:r>
        <w:rPr>
          <w:color w:val="000000"/>
          <w:spacing w:val="0"/>
          <w:w w:val="100"/>
          <w:position w:val="0"/>
          <w:u w:val="single"/>
          <w:shd w:val="clear" w:color="auto" w:fill="auto"/>
          <w:lang w:val="ru-RU" w:eastAsia="ru-RU" w:bidi="ru-RU"/>
        </w:rPr>
        <w:t>Постановлением</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w:t>
      </w:r>
      <w:r>
        <w:rPr>
          <w:color w:val="000000"/>
          <w:spacing w:val="0"/>
          <w:w w:val="100"/>
          <w:position w:val="0"/>
          <w:shd w:val="clear" w:color="auto" w:fill="auto"/>
          <w:lang w:val="ru-RU" w:eastAsia="ru-RU" w:bidi="ru-RU"/>
        </w:rPr>
        <w:t xml:space="preserve"> </w:t>
      </w:r>
      <w:r>
        <w:rPr>
          <w:color w:val="000000"/>
          <w:spacing w:val="0"/>
          <w:w w:val="100"/>
          <w:position w:val="0"/>
          <w:u w:val="single"/>
          <w:shd w:val="clear" w:color="auto" w:fill="auto"/>
          <w:lang w:val="ru-RU" w:eastAsia="ru-RU" w:bidi="ru-RU"/>
        </w:rPr>
        <w:t>пункта 6</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 xml:space="preserve">Постановления Правительства РФ от 30.04.2020 № 616 в целях реализации </w:t>
      </w:r>
      <w:r>
        <w:rPr>
          <w:color w:val="000000"/>
          <w:spacing w:val="0"/>
          <w:w w:val="100"/>
          <w:position w:val="0"/>
          <w:u w:val="single"/>
          <w:shd w:val="clear" w:color="auto" w:fill="auto"/>
          <w:lang w:val="ru-RU" w:eastAsia="ru-RU" w:bidi="ru-RU"/>
        </w:rPr>
        <w:t>Постановления</w:t>
      </w:r>
      <w:r>
        <w:rPr>
          <w:color w:val="000000"/>
          <w:spacing w:val="0"/>
          <w:w w:val="100"/>
          <w:position w:val="0"/>
          <w:shd w:val="clear" w:color="auto" w:fill="auto"/>
          <w:lang w:val="ru-RU" w:eastAsia="ru-RU" w:bidi="ru-RU"/>
        </w:rPr>
        <w:t xml:space="preserve"> Правительства РФ от 30.04.2020 № 616 подтверждением производства продукции на территории Российской Федерации является наличие сведений о такой продукции в реестре промышленной продукции, произведенной на территории Российской Федерации (далее - реестр российской промышленной продукции).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u w:val="single"/>
          <w:shd w:val="clear" w:color="auto" w:fill="auto"/>
          <w:lang w:val="ru-RU" w:eastAsia="ru-RU" w:bidi="ru-RU"/>
        </w:rPr>
        <w:t>Пунктом 10</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 xml:space="preserve">Постановления Правительства РФ от 30.04.2020 № 616 установлено, что для подтверждения соответствия закупки промышленных товаров требованиям, установленным </w:t>
      </w:r>
      <w:r>
        <w:rPr>
          <w:color w:val="000000"/>
          <w:spacing w:val="0"/>
          <w:w w:val="100"/>
          <w:position w:val="0"/>
          <w:u w:val="single"/>
          <w:shd w:val="clear" w:color="auto" w:fill="auto"/>
          <w:lang w:val="ru-RU" w:eastAsia="ru-RU" w:bidi="ru-RU"/>
        </w:rPr>
        <w:t>Постановлением</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 xml:space="preserve">Правительства РФ от 30.04.2020 № 616, участник закупки указывает (декларирует) в составе заявки на участие в закупке 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единого реестра российской радиоэлектронной продукции (в случае закупки товаров, указанных в пунктах 22 - 27 и 29 перечня),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w:t>
      </w:r>
      <w:r>
        <w:rPr>
          <w:color w:val="000000"/>
          <w:spacing w:val="0"/>
          <w:w w:val="100"/>
          <w:position w:val="0"/>
          <w:u w:val="single"/>
          <w:shd w:val="clear" w:color="auto" w:fill="auto"/>
          <w:lang w:val="ru-RU" w:eastAsia="ru-RU" w:bidi="ru-RU"/>
        </w:rPr>
        <w:t>постановлением</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Правительства Российской Федерации от 17 июля 2015 г. №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и совокупном количестве баллов включается в контракт.</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Подтверждение производства промышленной продукции на территории Российской Федерации осуществляется в соответствии с </w:t>
      </w:r>
      <w:r>
        <w:rPr>
          <w:color w:val="000000"/>
          <w:spacing w:val="0"/>
          <w:w w:val="100"/>
          <w:position w:val="0"/>
          <w:u w:val="single"/>
          <w:shd w:val="clear" w:color="auto" w:fill="auto"/>
          <w:lang w:val="ru-RU" w:eastAsia="ru-RU" w:bidi="ru-RU"/>
        </w:rPr>
        <w:t>Постановлением</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Правительства РФ от 17.07.2015 № 719 «О подтверждении производства промышленной продукции на территории Российской Федерации» (далее - Постановлением Правительства РФ от 17.07.2015 № 719).</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Приложением к </w:t>
      </w:r>
      <w:r>
        <w:rPr>
          <w:color w:val="000000"/>
          <w:spacing w:val="0"/>
          <w:w w:val="100"/>
          <w:position w:val="0"/>
          <w:u w:val="single"/>
          <w:shd w:val="clear" w:color="auto" w:fill="auto"/>
          <w:lang w:val="ru-RU" w:eastAsia="ru-RU" w:bidi="ru-RU"/>
        </w:rPr>
        <w:t>по становлению</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Правительства Российской Федерации от 17 июля 2015 № 719 являются требования к промышленной продукции, предъявляемые в целях ее отнесения к продукции, произведенной на территории Российской Федерации.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установлено, что в требованиях к составу заявки установлен запрет в соответствии с постановлением Правительства Российской Федерации от 30 апреля 2020 года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пункте 11 раздела 3 в требованиях к составу заявки отмечено, что для подтверждения соответствия закупки промышленных товаров требованиям, установленным ПП РФ № 616, участник закупки указывает (декларирует) в составе заявки на участие в закупке:</w:t>
      </w:r>
    </w:p>
    <w:p>
      <w:pPr>
        <w:pStyle w:val="Style10"/>
        <w:keepNext w:val="0"/>
        <w:keepLines w:val="0"/>
        <w:widowControl w:val="0"/>
        <w:numPr>
          <w:ilvl w:val="0"/>
          <w:numId w:val="9"/>
        </w:numPr>
        <w:shd w:val="clear" w:color="auto" w:fill="auto"/>
        <w:tabs>
          <w:tab w:pos="99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а также информации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w:t>
      </w:r>
    </w:p>
    <w:p>
      <w:pPr>
        <w:pStyle w:val="Style10"/>
        <w:keepNext w:val="0"/>
        <w:keepLines w:val="0"/>
        <w:widowControl w:val="0"/>
        <w:numPr>
          <w:ilvl w:val="0"/>
          <w:numId w:val="9"/>
        </w:numPr>
        <w:shd w:val="clear" w:color="auto" w:fill="auto"/>
        <w:tabs>
          <w:tab w:pos="99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отношении товаров, страной происхождения которых является государство - член Евразийского экономического союза, за исключением Российской Федерации, - номера реестровых записей из евразийского реестра промышленных товаров, а также информации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это предусмотрено решением Совета Евразийской экономической комиссии от 23 ноября 2020 г. № 105 (для продукции, в отношении которой установлены требования о совокупном количестве баллов за выполнение (освоение) на территории Евразийского экономического союза соответствующих операций (условий).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случае представления участником закупки в составе заявки информации из реестра российской промышленной продукции или евразийского реестра промышленной продукции без указания совокупного количества баллов, указанного в абзацах втором и третьем пункта 10 ПП РФ № 616, или с указанием такого совокупного количества баллов, не соответствующего требованиям, установленным для целей осуществления закупок постановлением Правительства Российской Федерации от 17 июля 2015 г. № 719 или решением Совета Евразийской экономической комиссии от 23 ноября 2020 г. № 105 соответственно, такая заявка приравнивается к заявке, в которой содержится предложение о поставке товаров, происходящих из иностранных государств.</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При осуществлении закупки промышленных товаров, указанных в пунктах 62 - 66 перечня, устанавливается запрет на допуск устройства числового программного управления, системы числового программного управления, а также управляющего программно-аппаратного комплекса, предусмотренных пунктом 28 перечня, в </w:t>
      </w:r>
      <w:r>
        <w:rPr>
          <w:color w:val="000000"/>
          <w:spacing w:val="0"/>
          <w:w w:val="100"/>
          <w:position w:val="0"/>
          <w:shd w:val="clear" w:color="auto" w:fill="auto"/>
          <w:lang w:val="ru-RU" w:eastAsia="ru-RU" w:bidi="ru-RU"/>
        </w:rPr>
        <w:t>составе промышленного товара (при наличии), происходящего из иностранных государств, за исключением такой продукции, производство которой на территории Российской Федерации или территории государств - членов Евразийского экономического союза отсутствует, что подтверждается в порядке, предусмотренном абзацем вторым подпункта «а» пункта 3 ПП РФ № 616.</w:t>
      </w:r>
    </w:p>
    <w:p>
      <w:pPr>
        <w:pStyle w:val="Style10"/>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ru-RU" w:eastAsia="ru-RU" w:bidi="ru-RU"/>
        </w:rPr>
        <w:t>Как установлено Комиссией Курганского УФАС России ООО «Железная мебель» предложил к поставке металлическую мебель для «Мастерской слесарных работ» верстак Ргой ^; тележка ^ОВ-5. страна происхождения Россия, Участником заявки представлены номера реестров записей из реестра российской промышленной продукции (№ 15/55/2023; №15/58/2023).</w:t>
      </w:r>
    </w:p>
    <w:p>
      <w:pPr>
        <w:pStyle w:val="Style10"/>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ru-RU" w:eastAsia="ru-RU" w:bidi="ru-RU"/>
        </w:rPr>
        <w:t xml:space="preserve">Согласно требованиям </w:t>
      </w:r>
      <w:r>
        <w:rPr>
          <w:color w:val="000000"/>
          <w:spacing w:val="0"/>
          <w:w w:val="100"/>
          <w:position w:val="0"/>
          <w:u w:val="single"/>
          <w:shd w:val="clear" w:color="auto" w:fill="auto"/>
          <w:lang w:val="ru-RU" w:eastAsia="ru-RU" w:bidi="ru-RU"/>
        </w:rPr>
        <w:t>Постановления</w:t>
      </w:r>
      <w:r>
        <w:rPr>
          <w:color w:val="000000"/>
          <w:spacing w:val="0"/>
          <w:w w:val="100"/>
          <w:position w:val="0"/>
          <w:shd w:val="clear" w:color="auto" w:fill="auto"/>
          <w:lang w:val="ru-RU" w:eastAsia="ru-RU" w:bidi="ru-RU"/>
        </w:rPr>
        <w:t xml:space="preserve"> Правительства РФ № 616 и извещения о проведении закупки,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Соответственно комиссия правомерно признала заявку № 23 участника закупки ООО «Железная мебель» соответствующей требованиям извещения о проведении электронного аукциона.</w:t>
      </w:r>
    </w:p>
    <w:p>
      <w:pPr>
        <w:pStyle w:val="Style10"/>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ru-RU" w:eastAsia="ru-RU" w:bidi="ru-RU"/>
        </w:rPr>
        <w:t>Кроме того, Участниками № 206, 135, 101,131, 204, 9, 238, 58, 30 также в составе заявок представлены номера реестровых записей из реестра российской промышленной продукции.</w:t>
      </w:r>
    </w:p>
    <w:p>
      <w:pPr>
        <w:pStyle w:val="Style10"/>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ru-RU" w:eastAsia="ru-RU" w:bidi="ru-RU"/>
        </w:rPr>
        <w:t>На основании вышеизложенных обстоятельств Комиссия Курганского УФАС России приходит к выводу о том, что в рассмотренных выше действиях комиссии отсутствуют нарушения требований</w:t>
      </w:r>
      <w:r>
        <w:rPr>
          <w:color w:val="000000"/>
          <w:spacing w:val="0"/>
          <w:w w:val="100"/>
          <w:position w:val="0"/>
          <w:shd w:val="clear" w:color="auto" w:fill="auto"/>
          <w:lang w:val="ru-RU" w:eastAsia="ru-RU" w:bidi="ru-RU"/>
        </w:rPr>
        <w:t xml:space="preserve"> </w:t>
      </w:r>
      <w:r>
        <w:rPr>
          <w:color w:val="000000"/>
          <w:spacing w:val="0"/>
          <w:w w:val="100"/>
          <w:position w:val="0"/>
          <w:u w:val="single"/>
          <w:shd w:val="clear" w:color="auto" w:fill="auto"/>
          <w:lang w:val="ru-RU" w:eastAsia="ru-RU" w:bidi="ru-RU"/>
        </w:rPr>
        <w:t>Закона</w:t>
      </w:r>
      <w:r>
        <w:rPr>
          <w:color w:val="000000"/>
          <w:spacing w:val="0"/>
          <w:w w:val="100"/>
          <w:position w:val="0"/>
          <w:shd w:val="clear" w:color="auto" w:fill="auto"/>
          <w:lang w:val="ru-RU" w:eastAsia="ru-RU" w:bidi="ru-RU"/>
        </w:rPr>
        <w:t xml:space="preserve"> о контрактной системе.</w:t>
      </w:r>
    </w:p>
    <w:p>
      <w:pPr>
        <w:pStyle w:val="Style10"/>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ru-RU" w:eastAsia="ru-RU" w:bidi="ru-RU"/>
        </w:rPr>
        <w:t>В ходе проведения внеплановой проверки Комиссией Курганского УФАС России в действиях субъектов контроля нарушений требований законодательства о контрактной системе не установлено.</w:t>
      </w:r>
    </w:p>
    <w:p>
      <w:pPr>
        <w:pStyle w:val="Style10"/>
        <w:keepNext w:val="0"/>
        <w:keepLines w:val="0"/>
        <w:widowControl w:val="0"/>
        <w:shd w:val="clear" w:color="auto" w:fill="auto"/>
        <w:bidi w:val="0"/>
        <w:spacing w:before="0" w:after="280" w:line="240" w:lineRule="auto"/>
        <w:ind w:left="0" w:right="0" w:firstLine="840"/>
        <w:jc w:val="both"/>
      </w:pPr>
      <w:r>
        <w:rPr>
          <w:color w:val="000000"/>
          <w:spacing w:val="0"/>
          <w:w w:val="100"/>
          <w:position w:val="0"/>
          <w:shd w:val="clear" w:color="auto" w:fill="auto"/>
          <w:lang w:val="ru-RU" w:eastAsia="ru-RU" w:bidi="ru-RU"/>
        </w:rPr>
        <w:t>Исследовав предоставленные материалы, руководствуясь статьями 99, 106 Закона о контрактной системе, Комиссией Курганского УФАС России,</w:t>
      </w:r>
    </w:p>
    <w:p>
      <w:pPr>
        <w:pStyle w:val="Style15"/>
        <w:keepNext/>
        <w:keepLines/>
        <w:widowControl w:val="0"/>
        <w:shd w:val="clear" w:color="auto" w:fill="auto"/>
        <w:bidi w:val="0"/>
        <w:spacing w:before="0" w:after="280" w:line="259" w:lineRule="auto"/>
        <w:ind w:left="0" w:right="0" w:firstLine="0"/>
        <w:jc w:val="center"/>
        <w:rPr>
          <w:sz w:val="26"/>
          <w:szCs w:val="26"/>
        </w:rPr>
      </w:pPr>
      <w:bookmarkStart w:id="9" w:name="bookmark9"/>
      <w:r>
        <w:rPr>
          <w:color w:val="000000"/>
          <w:spacing w:val="0"/>
          <w:w w:val="100"/>
          <w:position w:val="0"/>
          <w:sz w:val="26"/>
          <w:szCs w:val="26"/>
          <w:shd w:val="clear" w:color="auto" w:fill="auto"/>
          <w:lang w:val="ru-RU" w:eastAsia="ru-RU" w:bidi="ru-RU"/>
        </w:rPr>
        <w:t>РЕШИЛА:</w:t>
      </w:r>
      <w:bookmarkEnd w:id="9"/>
    </w:p>
    <w:p>
      <w:pPr>
        <w:pStyle w:val="Style10"/>
        <w:keepNext w:val="0"/>
        <w:keepLines w:val="0"/>
        <w:widowControl w:val="0"/>
        <w:shd w:val="clear" w:color="auto" w:fill="auto"/>
        <w:bidi w:val="0"/>
        <w:spacing w:before="0" w:after="280" w:line="240" w:lineRule="auto"/>
        <w:ind w:left="0" w:right="0" w:firstLine="840"/>
        <w:jc w:val="both"/>
      </w:pPr>
      <w:r>
        <w:rPr>
          <w:color w:val="000000"/>
          <w:spacing w:val="0"/>
          <w:w w:val="100"/>
          <w:position w:val="0"/>
          <w:shd w:val="clear" w:color="auto" w:fill="auto"/>
          <w:lang w:val="ru-RU" w:eastAsia="ru-RU" w:bidi="ru-RU"/>
        </w:rPr>
        <w:t>Признать жалобу Общества с ограниченной ответственностью «Лада Групп» необоснованной.</w:t>
      </w:r>
    </w:p>
    <w:p>
      <w:pPr>
        <w:pStyle w:val="Style10"/>
        <w:keepNext w:val="0"/>
        <w:keepLines w:val="0"/>
        <w:widowControl w:val="0"/>
        <w:shd w:val="clear" w:color="auto" w:fill="auto"/>
        <w:bidi w:val="0"/>
        <w:spacing w:before="0" w:after="280" w:line="240" w:lineRule="auto"/>
        <w:ind w:left="0" w:right="0" w:firstLine="840"/>
        <w:jc w:val="both"/>
      </w:pPr>
      <w:r>
        <w:rPr>
          <w:i/>
          <w:iCs/>
          <w:color w:val="000000"/>
          <w:spacing w:val="0"/>
          <w:w w:val="100"/>
          <w:position w:val="0"/>
          <w:shd w:val="clear" w:color="auto" w:fill="auto"/>
          <w:lang w:val="ru-RU" w:eastAsia="ru-RU" w:bidi="ru-RU"/>
        </w:rPr>
        <w:t>В соответствии с частью 9 статьи 106 Закона о контрактной системе, решение может быть обжаловано в судебном порядке в течение трех месяцев с даты его принятия.</w:t>
      </w:r>
    </w:p>
    <w:p>
      <w:pPr>
        <w:pStyle w:val="Style10"/>
        <w:keepNext w:val="0"/>
        <w:keepLines w:val="0"/>
        <w:widowControl w:val="0"/>
        <w:shd w:val="clear" w:color="auto" w:fill="auto"/>
        <w:tabs>
          <w:tab w:leader="underscore" w:pos="7416" w:val="left"/>
        </w:tabs>
        <w:bidi w:val="0"/>
        <w:spacing w:before="0" w:after="340" w:line="240" w:lineRule="auto"/>
        <w:ind w:left="0" w:right="0" w:firstLine="0"/>
        <w:jc w:val="both"/>
      </w:pPr>
      <w:r>
        <w:rPr>
          <w:color w:val="000000"/>
          <w:spacing w:val="0"/>
          <w:w w:val="100"/>
          <w:position w:val="0"/>
          <w:shd w:val="clear" w:color="auto" w:fill="auto"/>
          <w:lang w:val="ru-RU" w:eastAsia="ru-RU" w:bidi="ru-RU"/>
        </w:rPr>
        <w:t xml:space="preserve">Заместитель Председателя Комиссии: </w:t>
        <w:tab/>
        <w:t>/И.М. Стрижова</w:t>
      </w:r>
    </w:p>
    <w:p>
      <w:pPr>
        <w:pStyle w:val="Style10"/>
        <w:keepNext w:val="0"/>
        <w:keepLines w:val="0"/>
        <w:widowControl w:val="0"/>
        <w:shd w:val="clear" w:color="auto" w:fill="auto"/>
        <w:tabs>
          <w:tab w:pos="7416" w:val="left"/>
        </w:tabs>
        <w:bidi w:val="0"/>
        <w:spacing w:before="0" w:after="340" w:line="240" w:lineRule="auto"/>
        <w:ind w:left="0" w:right="0" w:firstLine="0"/>
        <w:jc w:val="both"/>
      </w:pPr>
      <w:r>
        <w:rPr>
          <w:color w:val="000000"/>
          <w:spacing w:val="0"/>
          <w:w w:val="100"/>
          <w:position w:val="0"/>
          <w:shd w:val="clear" w:color="auto" w:fill="auto"/>
          <w:lang w:val="ru-RU" w:eastAsia="ru-RU" w:bidi="ru-RU"/>
        </w:rPr>
        <w:t>Члены Комиссии:</w:t>
        <w:tab/>
        <w:t>/В.А.Мыльникова</w:t>
      </w:r>
    </w:p>
    <w:p>
      <w:pPr>
        <w:pStyle w:val="Style10"/>
        <w:keepNext w:val="0"/>
        <w:keepLines w:val="0"/>
        <w:widowControl w:val="0"/>
        <w:shd w:val="clear" w:color="auto" w:fill="auto"/>
        <w:tabs>
          <w:tab w:leader="underscore" w:pos="2386" w:val="left"/>
        </w:tabs>
        <w:bidi w:val="0"/>
        <w:spacing w:before="0" w:after="280" w:line="240" w:lineRule="auto"/>
        <w:ind w:left="0" w:right="780" w:firstLine="0"/>
        <w:jc w:val="right"/>
        <w:sectPr>
          <w:footerReference w:type="default" r:id="rId9"/>
          <w:footerReference w:type="first" r:id="rId10"/>
          <w:footnotePr>
            <w:pos w:val="pageBottom"/>
            <w:numFmt w:val="decimal"/>
            <w:numRestart w:val="continuous"/>
          </w:footnotePr>
          <w:pgSz w:w="11900" w:h="16840"/>
          <w:pgMar w:top="1086" w:right="490" w:bottom="1226" w:left="1046"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ab/>
        <w:t>/ А.Ю. Колпакова</w:t>
      </w:r>
    </w:p>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2023-3504</w:t>
      </w:r>
    </w:p>
    <w:sectPr>
      <w:footerReference w:type="default" r:id="rId11"/>
      <w:footnotePr>
        <w:pos w:val="pageBottom"/>
        <w:numFmt w:val="decimal"/>
        <w:numRestart w:val="continuous"/>
      </w:footnotePr>
      <w:pgSz w:w="11900" w:h="16840"/>
      <w:pgMar w:top="15682" w:right="541" w:bottom="616" w:left="996" w:header="15254" w:footer="188"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720725</wp:posOffset>
              </wp:positionH>
              <wp:positionV relativeFrom="page">
                <wp:posOffset>10004425</wp:posOffset>
              </wp:positionV>
              <wp:extent cx="648970" cy="100330"/>
              <wp:wrapNone/>
              <wp:docPr id="9" name="Shape 9"/>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2023-3504</w:t>
                          </w:r>
                        </w:p>
                      </w:txbxContent>
                    </wps:txbx>
                    <wps:bodyPr wrap="none" lIns="0" tIns="0" rIns="0" bIns="0">
                      <a:spAutoFit/>
                    </wps:bodyPr>
                  </wps:wsp>
                </a:graphicData>
              </a:graphic>
            </wp:anchor>
          </w:drawing>
        </mc:Choice>
        <mc:Fallback>
          <w:pict>
            <v:shape id="_x0000_s1035" type="#_x0000_t202" style="position:absolute;margin-left:56.75pt;margin-top:787.7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2023-3504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725170</wp:posOffset>
              </wp:positionH>
              <wp:positionV relativeFrom="page">
                <wp:posOffset>9978390</wp:posOffset>
              </wp:positionV>
              <wp:extent cx="648970" cy="100330"/>
              <wp:wrapNone/>
              <wp:docPr id="11" name="Shape 1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2023-3504</w:t>
                          </w:r>
                        </w:p>
                      </w:txbxContent>
                    </wps:txbx>
                    <wps:bodyPr wrap="none" lIns="0" tIns="0" rIns="0" bIns="0">
                      <a:spAutoFit/>
                    </wps:bodyPr>
                  </wps:wsp>
                </a:graphicData>
              </a:graphic>
            </wp:anchor>
          </w:drawing>
        </mc:Choice>
        <mc:Fallback>
          <w:pict>
            <v:shape id="_x0000_s1037" type="#_x0000_t202" style="position:absolute;margin-left:57.100000000000001pt;margin-top:785.7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2023-3504</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561A2"/>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561A2"/>
      <w:sz w:val="19"/>
      <w:szCs w:val="19"/>
      <w:u w:val="none"/>
    </w:rPr>
  </w:style>
  <w:style w:type="character" w:customStyle="1" w:styleId="CharStyle9">
    <w:name w:val="Подпись к картинке_"/>
    <w:basedOn w:val="DefaultParagraphFont"/>
    <w:link w:val="Style8"/>
    <w:rPr>
      <w:rFonts w:ascii="Times New Roman" w:eastAsia="Times New Roman" w:hAnsi="Times New Roman" w:cs="Times New Roman"/>
      <w:b w:val="0"/>
      <w:bCs w:val="0"/>
      <w:i w:val="0"/>
      <w:iCs w:val="0"/>
      <w:smallCaps w:val="0"/>
      <w:strike w:val="0"/>
      <w:color w:val="4561A2"/>
      <w:sz w:val="19"/>
      <w:szCs w:val="19"/>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sz w:val="28"/>
      <w:szCs w:val="28"/>
      <w:u w:val="none"/>
    </w:rPr>
  </w:style>
  <w:style w:type="character" w:customStyle="1" w:styleId="CharStyle13">
    <w:name w:val="Колонтитул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character" w:customStyle="1" w:styleId="CharStyle16">
    <w:name w:val="Заголовок №2_"/>
    <w:basedOn w:val="DefaultParagraphFont"/>
    <w:link w:val="Style15"/>
    <w:rPr>
      <w:rFonts w:ascii="Times New Roman" w:eastAsia="Times New Roman" w:hAnsi="Times New Roman" w:cs="Times New Roman"/>
      <w:b/>
      <w:bCs/>
      <w:i w:val="0"/>
      <w:iCs w:val="0"/>
      <w:smallCaps w:val="0"/>
      <w:strike w:val="0"/>
      <w:sz w:val="28"/>
      <w:szCs w:val="28"/>
      <w:u w:val="none"/>
    </w:rPr>
  </w:style>
  <w:style w:type="character" w:customStyle="1" w:styleId="CharStyle19">
    <w:name w:val="Заголовок №1_"/>
    <w:basedOn w:val="DefaultParagraphFont"/>
    <w:link w:val="Style18"/>
    <w:rPr>
      <w:rFonts w:ascii="Arial" w:eastAsia="Arial" w:hAnsi="Arial" w:cs="Arial"/>
      <w:b w:val="0"/>
      <w:bCs w:val="0"/>
      <w:i w:val="0"/>
      <w:iCs w:val="0"/>
      <w:smallCaps w:val="0"/>
      <w:strike w:val="0"/>
      <w:sz w:val="32"/>
      <w:szCs w:val="32"/>
      <w:u w:val="none"/>
    </w:rPr>
  </w:style>
  <w:style w:type="character" w:customStyle="1" w:styleId="CharStyle24">
    <w:name w:val="Основной текст (4)_"/>
    <w:basedOn w:val="DefaultParagraphFont"/>
    <w:link w:val="Style23"/>
    <w:rPr>
      <w:rFonts w:ascii="Times New Roman" w:eastAsia="Times New Roman" w:hAnsi="Times New Roman" w:cs="Times New Roman"/>
      <w:b w:val="0"/>
      <w:bCs w:val="0"/>
      <w:i w:val="0"/>
      <w:iCs w:val="0"/>
      <w:smallCaps w:val="0"/>
      <w:strike w:val="0"/>
      <w:u w:val="none"/>
    </w:rPr>
  </w:style>
  <w:style w:type="paragraph" w:customStyle="1" w:styleId="Style2">
    <w:name w:val="Основной текст (2)"/>
    <w:basedOn w:val="Normal"/>
    <w:link w:val="CharStyle3"/>
    <w:pPr>
      <w:widowControl w:val="0"/>
      <w:shd w:val="clear" w:color="auto" w:fill="auto"/>
      <w:spacing w:after="420" w:line="281" w:lineRule="auto"/>
      <w:jc w:val="center"/>
    </w:pPr>
    <w:rPr>
      <w:rFonts w:ascii="Times New Roman" w:eastAsia="Times New Roman" w:hAnsi="Times New Roman" w:cs="Times New Roman"/>
      <w:b w:val="0"/>
      <w:bCs w:val="0"/>
      <w:i w:val="0"/>
      <w:iCs w:val="0"/>
      <w:smallCaps w:val="0"/>
      <w:strike w:val="0"/>
      <w:color w:val="4561A2"/>
      <w:sz w:val="16"/>
      <w:szCs w:val="16"/>
      <w:u w:val="none"/>
    </w:rPr>
  </w:style>
  <w:style w:type="paragraph" w:customStyle="1" w:styleId="Style5">
    <w:name w:val="Основной текст (3)"/>
    <w:basedOn w:val="Normal"/>
    <w:link w:val="CharStyle6"/>
    <w:pPr>
      <w:widowControl w:val="0"/>
      <w:shd w:val="clear" w:color="auto" w:fill="auto"/>
      <w:spacing w:after="180"/>
      <w:jc w:val="center"/>
    </w:pPr>
    <w:rPr>
      <w:rFonts w:ascii="Times New Roman" w:eastAsia="Times New Roman" w:hAnsi="Times New Roman" w:cs="Times New Roman"/>
      <w:b/>
      <w:bCs/>
      <w:i w:val="0"/>
      <w:iCs w:val="0"/>
      <w:smallCaps w:val="0"/>
      <w:strike w:val="0"/>
      <w:color w:val="4561A2"/>
      <w:sz w:val="19"/>
      <w:szCs w:val="19"/>
      <w:u w:val="none"/>
    </w:rPr>
  </w:style>
  <w:style w:type="paragraph" w:customStyle="1" w:styleId="Style8">
    <w:name w:val="Подпись к картинке"/>
    <w:basedOn w:val="Normal"/>
    <w:link w:val="CharStyle9"/>
    <w:pPr>
      <w:widowControl w:val="0"/>
      <w:shd w:val="clear" w:color="auto" w:fill="auto"/>
    </w:pPr>
    <w:rPr>
      <w:rFonts w:ascii="Times New Roman" w:eastAsia="Times New Roman" w:hAnsi="Times New Roman" w:cs="Times New Roman"/>
      <w:b w:val="0"/>
      <w:bCs w:val="0"/>
      <w:i w:val="0"/>
      <w:iCs w:val="0"/>
      <w:smallCaps w:val="0"/>
      <w:strike w:val="0"/>
      <w:color w:val="4561A2"/>
      <w:sz w:val="19"/>
      <w:szCs w:val="19"/>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2">
    <w:name w:val="Колонтитул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5">
    <w:name w:val="Заголовок №2"/>
    <w:basedOn w:val="Normal"/>
    <w:link w:val="CharStyle16"/>
    <w:pPr>
      <w:widowControl w:val="0"/>
      <w:shd w:val="clear" w:color="auto" w:fill="auto"/>
      <w:outlineLvl w:val="1"/>
    </w:pPr>
    <w:rPr>
      <w:rFonts w:ascii="Times New Roman" w:eastAsia="Times New Roman" w:hAnsi="Times New Roman" w:cs="Times New Roman"/>
      <w:b/>
      <w:bCs/>
      <w:i w:val="0"/>
      <w:iCs w:val="0"/>
      <w:smallCaps w:val="0"/>
      <w:strike w:val="0"/>
      <w:sz w:val="28"/>
      <w:szCs w:val="28"/>
      <w:u w:val="none"/>
    </w:rPr>
  </w:style>
  <w:style w:type="paragraph" w:customStyle="1" w:styleId="Style18">
    <w:name w:val="Заголовок №1"/>
    <w:basedOn w:val="Normal"/>
    <w:link w:val="CharStyle19"/>
    <w:pPr>
      <w:widowControl w:val="0"/>
      <w:shd w:val="clear" w:color="auto" w:fill="auto"/>
      <w:spacing w:after="560"/>
      <w:outlineLvl w:val="0"/>
    </w:pPr>
    <w:rPr>
      <w:rFonts w:ascii="Arial" w:eastAsia="Arial" w:hAnsi="Arial" w:cs="Arial"/>
      <w:b w:val="0"/>
      <w:bCs w:val="0"/>
      <w:i w:val="0"/>
      <w:iCs w:val="0"/>
      <w:smallCaps w:val="0"/>
      <w:strike w:val="0"/>
      <w:sz w:val="32"/>
      <w:szCs w:val="32"/>
      <w:u w:val="none"/>
    </w:rPr>
  </w:style>
  <w:style w:type="paragraph" w:customStyle="1" w:styleId="Style23">
    <w:name w:val="Основной текст (4)"/>
    <w:basedOn w:val="Normal"/>
    <w:link w:val="CharStyle24"/>
    <w:pPr>
      <w:widowControl w:val="0"/>
      <w:shd w:val="clear" w:color="auto" w:fill="auto"/>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s>
</file>