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200" w:line="240" w:lineRule="auto"/>
        <w:ind w:left="0" w:right="0" w:firstLine="0"/>
        <w:jc w:val="both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47703/23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Блинова Н. 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па4уа.Ы^поVа.00@^п^е^пе^.^и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депШгсот8ао@рпао.то8.ги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Бескудниковского района»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79" w:bottom="621" w:left="1269" w:header="0" w:footer="3" w:gutter="0"/>
          <w:cols w:num="2" w:space="720" w:equalWidth="0">
            <w:col w:w="3835" w:space="1301"/>
            <w:col w:w="431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дЪи-Ъе8к@рпао.то8.ги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3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№077/06/106-15573/2023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ИП Блинова Н.А., ГБУ «Жилищник Бескудниковского района» уведомленных о порядке и времени проведения заседания надлежащим образом Московским УФАС по средствам функционала Единой информационной системы в сфере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также при участии слушателя ГКУ «Дирекция ЖКХиБ САО»: К.М. Маркиной,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Блинова Н.А. (далее — Заявитель) на действия ГБУ «Жилищник Бескудниковского района» (далее — Заказчик) при проведении открытого конкурса в электронной форме на право заключения государственного контракта на выполнение гидроизоляционных работ подземной части жилого дома по адресу: г. Москва, Селигерская улица, д. 18, стр. 1 (Закупка № 0373200018823001463) (далее — конкурс) в соответствии с Федеральным законом от 05.04.2013 №44-ФЗ «О контрактной системе в сфере закупок товаров, работ, услуг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|||||||||||||||||||||||||||| </w:t>
      </w:r>
      <w:r>
        <w:rPr>
          <w:rStyle w:val="CharStyle10"/>
        </w:rPr>
        <w:t>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представлены, запрашиваемые Московским УФАС России, документы и сведения.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закупок показателю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конкурсной документацией оценка заявок производится в соответствии с Положением об оценке заявок на участие в закупке товаров, работ,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 для обеспечения государственных и муниципальных нужд, утвержденным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открытого конкурса в электронной форме от 13.10.2023 №0373200018823001463 предметом закупочной процедуры является выполнение гидроизоляционных работ подземной части жилого дома по адресу: г. Москва, Селигерская улица, д. 18, стр. 1. Кроме того, Комиссией Управления установлено, что Заказчиком установлены дополнительные требования к участникам закупочной процедуры в соответствии с положениями п.15 Приложения к постановлению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Федерации», что свидетельствует о принадлежности объекта закупочной процедуры к текущему ремонту.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установлено следующее положение порядка оценки заявок по показателю «Наличие у участников закупки опыта поставки товара, выполнения работы, оказания услуги, связанного с предметом контракта»: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«Под работами, связанными с предметом контракта, заключаемого по результатам проведения закупки, понимаются работы по текущему ремонту зданий, сооружений; капитальному ремонту объекта капитального строительства».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установленные в порядке оценки противоречит положениям п.33 Положений, поскольку установленный порядок не предусматривает возможность представления опыта по строительству и реконструкции объектов капитального строительства, несмотря на то, что такой опыт является сопоставимым объекту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«в» п.33 Положений при осуществлении закупки, по результатам проведения которой заключается контракт на выполнение работ по текущему ремонту зданий, сооружений документом, предусмотренным приложением №1 к настоящему Положению, в отношении показателя, предусмотренного подпунктом «в» пункта 24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указанным доводом жалобы и пояснил, что вышеуказанные нарушения явились следствием технической ошибки, допущенной при формировании порядка оценки.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 нарушении ч.8 ст.32, п.11 ч.1 ст.42 Закона о контрактной системе при установлении подобным образом положений порядка оценки по показателю «Наличие у участников закупки опыта поставки товара, выполнения работы, оказания услуги, связанного с предметом контракта», поскольку такой порядок оценки нарушает принципы законодательства о контрактной системе и препятствует выявлению лучших условий исполнения контракта,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также отмечено, что согласно протоколу подведения итогов определения поставщика (подрядчика, исполнителя) от 01.11.2023 №ИЭОК1 на участие в закупочной процедуре подана одна заявка, что свидетельствует о не применении установленного порядка оценки при рассмотрении заявки участника закупки.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Блинова Н.А. на действия ГБУ «Жилищник Бескудниковского района»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ч.8 ст.32, п.11 ч.1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не выдавать, так как выявленные нарушения не повлияли на результат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59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3" w:right="534" w:bottom="971" w:left="10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16764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736600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58.pt;width:145.70000000000002pt;height:19.699999999999999pt;z-index:-125829375;mso-wrap-distance-left:0;mso-wrap-distance-top:58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7890" distB="635" distL="0" distR="0" simplePos="0" relativeHeight="12582938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897890</wp:posOffset>
                </wp:positionV>
                <wp:extent cx="1725295" cy="25590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55000000000001pt;margin-top:70.700000000000003pt;width:135.84999999999999pt;height:20.150000000000002pt;z-index:-125829373;mso-wrap-distance-left:0;mso-wrap-distance-top:70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167640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736600</wp:posOffset>
                </wp:positionV>
                <wp:extent cx="130746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25pt;margin-top:58.pt;width:102.95pt;height:19.699999999999999pt;z-index:-125829371;mso-wrap-distance-left:0;mso-wrap-distance-top:58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7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6366183222Е5ОСЕ2САЗЕ6О732820С91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279400</wp:posOffset>
                </wp:positionV>
                <wp:extent cx="880745" cy="250190"/>
                <wp:wrapSquare wrapText="bothSides"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99.05000000000001pt;margin-top:22.pt;width:69.350000000000009pt;height:19.6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44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3365" distB="0" distL="0" distR="0" simplePos="0" relativeHeight="1258293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253365</wp:posOffset>
                </wp:positionV>
                <wp:extent cx="1725295" cy="25590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55000000000001pt;margin-top:19.949999999999999pt;width:135.84999999999999pt;height:20.150000000000002pt;z-index:-125829367;mso-wrap-distance-left:0;mso-wrap-distance-top:19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88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2.60000000000002pt;margin-top:7.pt;width:105.60000000000001pt;height:19.900000000000002pt;z-index:-125829365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74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10116185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2023-54025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6.55000000000007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2023-54025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6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15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