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6620" distL="1162685" distR="1111250" simplePos="0" relativeHeight="125829378" behindDoc="0" locked="0" layoutInCell="1" allowOverlap="1">
            <wp:simplePos x="0" y="0"/>
            <wp:positionH relativeFrom="page">
              <wp:posOffset>1774190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18490" distB="0" distL="114300" distR="114300" simplePos="0" relativeHeight="125829379" behindDoc="0" locked="0" layoutInCell="1" allowOverlap="1">
                <wp:simplePos x="0" y="0"/>
                <wp:positionH relativeFrom="page">
                  <wp:posOffset>725805</wp:posOffset>
                </wp:positionH>
                <wp:positionV relativeFrom="paragraph">
                  <wp:posOffset>631190</wp:posOffset>
                </wp:positionV>
                <wp:extent cx="2578735" cy="216408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4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6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1о77@Га8.2ОУ.ги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09.11.2023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№ 47811/23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149999999999999pt;margin-top:49.700000000000003pt;width:203.05000000000001pt;height:170.40000000000001pt;z-index:-125829374;mso-wrap-distance-left:9.pt;mso-wrap-distance-top:48.700000000000003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64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1о77@Га8.2ОУ.ги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09.11.2023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№ 47811/23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8100" distB="0" distL="114300" distR="114300" simplePos="0" relativeHeight="125829381" behindDoc="0" locked="0" layoutInCell="1" allowOverlap="1">
            <wp:simplePos x="0" y="0"/>
            <wp:positionH relativeFrom="page">
              <wp:posOffset>716915</wp:posOffset>
            </wp:positionH>
            <wp:positionV relativeFrom="paragraph">
              <wp:posOffset>9643745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поселения Десеновское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4е8епоV8кое@та^1.^и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Тожибаев З.П.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^р.xаЪМxЪоп@дта^1.сот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5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№077/06/106-15607/2023 о нарушении</w:t>
        <w:br/>
        <w:t>законодательства о контрактной системе</w:t>
        <w:br/>
        <w:t>03.11.2023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 Администрации поселения Десеновское,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Тожибаев З.П.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Тожибаев З.П. (далее — Заявитель) на действия Администрации поселения Десеновское (далее — Заказчик) при проведении открытого конкурса в электронной форме на право заключения государственного контракта на выполнение проектно изыскательских работ по объектам транспортной системы поселения Десеновское (Закупка №0148300011023000026) (далее - конкурс)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конкурса.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Заказчиком неправомерно установлены требования к участникам закупки, предусмотренные п.1 ч.1 ст.31 Закона о контрактной системе, о необходимости членства участника закупки в саморегулируемой организации в области архитектурно-строительного проектирования с соблюдением условий, предусмотренных ч.3 ст. 55.8 Градостроительного кодекса Российской Федерации (далее — ГрК РФ), а также неправомерно установлены дополнительные требования о наличии у участников закупочной процедуры опыта выполнения работ в соответствии с п.6 приложения «Дополнительные требования к участникам закупки отдельных видов товаров, работ, услуг для обеспечения государственных и муниципальных нужд» (далее - Приложение) к Постановлению Правительства №2571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Постановление №2571), так как, по мнению Заявителя, объект, в отношении которого подлежат выполнению закупаемые работы, не относится к объектам капитального строительства, в связи с чем закупаемые работы не подпадают под определение работ по подготовке проектной документации в области архитектурно-строительного проектирования.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что, согласно извещению о проведении аукциона, объектом закупки является выполнение проектно изыскательских работ по объектам транспортной системы поселения Десеновское.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70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2023-54119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описании объекта закупки Заказчиком также определено: 2.1 Подрядчик обязуется выполнить работы по подготовке проектной документации по организации дорожного движения (далее - документация) в соответствие с Приложением 1 «Перечень объектов закупки», Приложением 3 «Задание на проектирование», Приложением 4 «Сметная документация» к настоящему Техническому заданию (далее - работы), по адресам и в объемах, указанным в Приложении 2 «Технико-экономические показатели объектов» к настоящему Техническому заданию (далее - объект), в порядке и на условиях, предусмотренных Контрактом и настоящим Техническим заданием, а также, в соответствии с требованиями законодательства Российской Федерации и иными требованиями, связанными с определением соответствия выполняемой работы потребностям Заказчика».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приложением №3 «Задание на проектирование» указано, что в рамках контракта, заключаемого по результатам обжалуемой процедуры, осуществляется выполнение проектно-изыскательских работ по объектам автомобильной дороги.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ст.49 Гражданского кодекса Российской Федерации в случаях, предусмотренных законом, юридическое лицо может заниматься отдельными видами деятельности только на основании специального разрешения (лицензии), членства в саморегулируемой организации или выданного саморегулируемой организацией свидетельства о допуске к определенному виду работ.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ст.47 ГрК РФ инженерные изыскания выполняются для подготовки проектной документации, строительства, реконструкции объектов капитального строительства. Подготовка проектной документации, а также строительство, реконструкция объектов капитального строительства в соответствии с такой проектной документацией не допускаются без выполнения соответствующих инженерных изысканий.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  <w:rPr>
          <w:sz w:val="22"/>
          <w:szCs w:val="22"/>
        </w:rPr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096" w:right="533" w:bottom="745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ч.1 ст.48 ГрК РФ архитектурно-строительное проектирование осуществляется путем подготовки проектной документации, рабочей документации (в том числе путем внесения в них изменений в соответствии с настоящим Кодексом) применительно к объектам капитального строительства и их частям, строящимся, реконструируемым в границах принадлежащего застройщику или иному правообладателю (которому при осуществлении бюджетных инвестиций в объекты капитального строительства государственной (муниципальной) собственности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2023-54119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органы государственной власти (государственные органы), Государственная корпорация по атомной энергии «Росатом», Государственная корпорация по космической деятельности «Роскосмос», органы управления государственными внебюджетными фондами или органы местного самоуправления передали в случаях, установленных бюджетным законодательством Российской Федерации, на основании соглашений свои полномочия государственного (муниципального) заказчика) земельного участка, а также раздела проектной документации «Смета на капитальный ремонт объекта капитального строительства» при проведении капитального ремонта объекта капитального строительства в случаях, предусмотренных частью 12.2 ст.48 ГрК РФ.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ст.48 ГрК РФ проектная документация представляет собой документацию, содержащую материалы в текстовой и графической формах и (или) в форме информационной модели и определяющую архитектурные, функционально</w:t>
        <w:softHyphen/>
        <w:t>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ст.48 ГрК РФ работы по договорам о подготовке проектной документации, внесению изменений в проектную документацию в соответствии с ч.3.8 и 3.9 ст.49 ГрК РФ, заключенным с застройщиком, техническим заказчиком, лицом, ответственным за эксплуатацию здания, сооружения, региональным оператором (далее также - договоры подряда на подготовку проектной документации), должны выполняться только индивидуальными предпринимателями или юридическими лицами, которые являются членами саморегулируемых организаций в области архитектурно-строительного проектирования, если иное не предусмотрено настоящей статьей. Выполнение работ по подготовке проектной документации по таким договорам обеспечивается специалистами по организации архитектурно-строительного проектирования (главными инженерами проектов, главными архитекторами проектов). Работы по договорам о подготовке проектной документации, внесению изменений в проектную документацию в соответствии с ч.3.8 и 3.9 ст.49 ГрК РФ, заключенным с иными лицами, могут выполняться индивидуальными предпринимателями или юридическими лицами, не являющимися членами таких саморегулируемых организаций.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ст.31 Закона о контрактной системе при применении конкурентных способов, при осуществлении закупки у единственного поставщика (подрядчика, исполнителя) в случаях, предусмотренных п. 4, 5, 18, 30, 42, 49, 54 и 59 ч.1 ст.93 Закона о контрактной системе, заказчик устанавливает единое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ч.2 ст.31 Закона о контрактной системе Правительство Российской Федерации вправе устанавливать к участникам закупок отдельных видов товаров,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работ, услуг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ч.5 ст.31 Закона о контрактной системе информация об установленных требованиях в соответствии с ч.1, 1.1, 2 и 2.1 ст.31 Закона о контрактной системе указывается заказчиком в извещении об осуществлении закупки и документации о закупке (в случае, если Законом о контрактной системе предусмотрена документация о закупке).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пп.«а» п.1 Постановления №2571 установлено, что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дополнительным требованиям подтверждается информацией и документами, предусмотренными Приложением.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п.3 Постановления №2571 положения Постановления №2571 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Приложения применяется с учетом положений п.3 Постановления №2571 в случае, если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п.6 Приложения при проведении закупочной процедуры объектом которой являются работы по подготовке проектной документации и (или) выполнению инженерных изысканий в соответствии с законодательством о градостроительной деятельности к участникам закупочной процедуры предъявляются дополнительные требования о наличии опыта исполнения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участником закупки договора, предусматривающего выполнение работ по подготовке проектной документации и (или) выполнению инженерных изысканий в соответствии с законодательством о градостроительной деятельности.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извещение об осуществлении закупки, должно содержать требования, предъявляемые к участникам закупки в соответствии с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 31 Закона о контрактной системе (при наличии такого требования).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извещения Заказчиком определены следующие требования к участникам закупки: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участникам закупок в соответствии с ч. 2 ст. 31 Закона № 44- ФЗ: 3.1 Требования в соответствии с позицией 6 раздела II приложения к ПП РФ от 29.12.2021 № 2571: Наличие опыта исполнения участником закупки договора, предусматривающего выполнение работ по подготовке проектной документации и (или) выполнению инженерных изысканий в соответствии с законодательством о градостроительной деятельности. Цена выполненных работ по договору должна составлять не менее 20 процентов от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1) исполненный договор; 2) акт выполненных работ, подтверждающий цену выполненных работ; 3) положительное заключение экспертизы проектной документации и (или) результатов инженерных изысканий (за исключением случаев, при которых такое заключение не выдается в соответствии с законодательством о градостроительной деятельности)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Требование к участникам закупок в соответствии с п. 1 ч. 1 ст. 31 Закона № 44-ФЗ: Участник закупки должен быть членом саморегулируемой организации в области архитектурно-строительного проектирования с соблюдением условий, предусмотренных ч. 3 ст. 55.8 Градостроительного кодекса Российской Федерации. Данное требование не применяется к участникам закупки, указанным в ч. 4.1 ст. 48 Градостроительного кодекса Российской Федерации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Комиссия Управления отмечает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п.10 ст.1 ГрК РФ под объектом капитального строительства понимается здание, строение, сооружение, объекты, строительство которых не завершено (далее - объекты незавершенного строительства), за исключением некапитальных строений, сооружений и неотделимых улучшений земельного участка (замощение, покрытие и другие).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58" w:right="526" w:bottom="1144" w:left="1082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П.10.1 ст.1 ГрК РФ установлено, что линейные объекты это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п.23 ч.2 ст.2 Федерального закона «Технический регламент о безопасности зданий и сооружений» № 384-ФЗ определено, что сооружение это результат строительства, представляющий собой объемную, плоскостную или линейную строительную систему, имеющую наземную, надземную и (или) подземную части, состоящую из несущих, а в отдельных случаях и ограждающих строительных конструкций и предназначенную для выполнения производственных процессов различного вида, хранения продукции, временного пребывания людей, перемещения людей и грузов.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исходя из системного толкования вышеуказанных положений законодательства, Комиссия Управления приходит к выводу, что линейные объекты относятся к объектам капитального строительства.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Аналогичная позиция изложена в письме Минстроя России от 11.07.2018 №30418-АС/08 «Об объектах капитального строительства».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этим, как установлено Комиссией Управления, в рамках контракта, заключаемого по результатам обжалуемой процедуры подлежат осуществлению работы по разработке проектной документации автомобильной дороги, при этом автомобильная дорога является линейным объемом, который, в свою очередь, является объектом капитального строительства.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 Комиссия Управления приходит к выводу, что работы, подлежащие выполнению при исполнении контракта, заключаемого по результатам данной конкурентной процедуры, являются работами по разработке проектной документации, предусмотренные ч.2 ст.48 ГрК РФ, ввиду чего установление Заказчиком в составе извещения об осуществлении закупки требования о необходимости членства участника закупки в саморегулируемой организации в области архитектурно-строительного проектирования с соблюдением условий, не противоречит положениям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п.9 ч.1 ст.42 Закона о контрактной системе извещение об осуществлении закупки должно содержать информацию о начальной (максимальной) цене контракта (цена отдельных этапов исполнения контракта, если проектом контракта предусмотрены такие этапы), источнике финансирования, наименовании валюты в соответствии с общероссийским классификатором валют. В случае, предусмотренном ч.24 ст.22 Закона о контрактной системе, указываются начальная цена единицы товара, работы, услуги, а также начальная сумма цен указанных единиц и максимальное значение цены контракта. В случаях, установленных Правительством Российской Федерации в соответствии с ч.2 ст.34 Закона о контрактной системе, указываются ориентировочное значение цены контракта либо формула цены и максимальное значение цены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  <w:rPr>
          <w:sz w:val="22"/>
          <w:szCs w:val="22"/>
        </w:rPr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58" w:right="536" w:bottom="707" w:left="1106" w:header="0" w:footer="279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Комиссией Управления установлено, что, согласно извещению об осуществлении закупки, начальная (максимальная) цена контракта составляет 7 534 594,76 руб, при этом, как установлено Комиссией Управления, объектом закупки являются работы по подготовке проектной документации в соответствии с законодательством о градостроительной деятельности, что свидетельствует соблюдении в рамках данной закупочной процедуры условий установления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2023-54119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дополнительных требований к участникам закупки, предусмотренных п.6 Приложения.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вышеизложенного, Комиссия Управления приходит к выводу, что доводы жалобы не нашли своего подтверждения и являются необоснованными.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ИП Тожибаев З.П. на действия Администрации поселения Десеновское необоснованной.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170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362585" distL="0" distR="0" simplePos="0" relativeHeight="12582938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139700</wp:posOffset>
                </wp:positionV>
                <wp:extent cx="1896110" cy="24701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950000000000003pt;margin-top:11.pt;width:149.30000000000001pt;height:19.449999999999999pt;z-index:-125829371;mso-wrap-distance-left:0;mso-wrap-distance-top:11.pt;mso-wrap-distance-right:0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2725" distB="0" distL="0" distR="1789430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212725</wp:posOffset>
            </wp:positionV>
            <wp:extent cx="353695" cy="53657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615315</wp:posOffset>
                </wp:positionV>
                <wp:extent cx="1280160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1.15000000000003pt;margin-top:48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304165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55000000000001pt;margin-top:23.949999999999999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362585" distL="0" distR="0" simplePos="0" relativeHeight="125829385" behindDoc="0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139700</wp:posOffset>
                </wp:positionV>
                <wp:extent cx="1182370" cy="24701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75.55000000000001pt;margin-top:11.pt;width:93.100000000000009pt;height:19.449999999999999pt;z-index:-125829368;mso-wrap-distance-left:0;mso-wrap-distance-top:11.pt;mso-wrap-distance-right:0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00Е9СЕАА6ОО6САО20О424А9502ЕС296Е8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по 16.03.2024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38100</wp:posOffset>
            </wp:positionV>
            <wp:extent cx="389890" cy="57277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476885</wp:posOffset>
                </wp:positionV>
                <wp:extent cx="1280160" cy="1035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1.10000000000002pt;margin-top:37.55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166370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5pt;margin-top:13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44СЕЭ19Э689ЕВ23598ВССВЕ99Е1С6Е2С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Действителен с 10.04.2023 по 03.07.2024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980"/>
        <w:jc w:val="lef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38100</wp:posOffset>
            </wp:positionV>
            <wp:extent cx="389890" cy="572770"/>
            <wp:wrapSquare wrapText="right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476885</wp:posOffset>
                </wp:positionV>
                <wp:extent cx="1280160" cy="100330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81.10000000000002pt;margin-top:37.550000000000004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163195</wp:posOffset>
                </wp:positionV>
                <wp:extent cx="1725295" cy="25590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77.5pt;margin-top:12.85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0018Е970Е55В5023ВСС0395Р903С1035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62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03.08.2023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по 26.10.2024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Исп.Матюшенко А.А.,тел.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10284460</wp:posOffset>
              </wp:positionV>
              <wp:extent cx="719455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2023-54119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99999999999999pt;margin-top:809.80000000000007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2023-54119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10086340</wp:posOffset>
              </wp:positionV>
              <wp:extent cx="71628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2023-54119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00000000000003pt;margin-top:794.20000000000005pt;width:56.3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2023-54119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10086340</wp:posOffset>
              </wp:positionV>
              <wp:extent cx="716280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2023-54119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200000000000003pt;margin-top:794.20000000000005pt;width:56.399999999999999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2023-54119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433705</wp:posOffset>
              </wp:positionV>
              <wp:extent cx="6413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25pt;margin-top:34.149999999999999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3933190</wp:posOffset>
              </wp:positionH>
              <wp:positionV relativeFrom="page">
                <wp:posOffset>469900</wp:posOffset>
              </wp:positionV>
              <wp:extent cx="5778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69999999999999pt;margin-top:37.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433705</wp:posOffset>
              </wp:positionV>
              <wp:extent cx="6413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25pt;margin-top:34.149999999999999pt;width:5.0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3933190</wp:posOffset>
              </wp:positionH>
              <wp:positionV relativeFrom="page">
                <wp:posOffset>469900</wp:posOffset>
              </wp:positionV>
              <wp:extent cx="57785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9.69999999999999pt;margin-top:37.pt;width:4.5499999999999998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5E9B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B2B2B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2B2B2B"/>
      <w:sz w:val="12"/>
      <w:szCs w:val="12"/>
      <w:u w:val="none"/>
    </w:rPr>
  </w:style>
  <w:style w:type="character" w:customStyle="1" w:styleId="CharStyle28">
    <w:name w:val="Основной текст (4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5E9B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spacing w:line="25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310" w:line="252" w:lineRule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B2B2B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B2B2B"/>
      <w:sz w:val="12"/>
      <w:szCs w:val="12"/>
      <w:u w:val="none"/>
    </w:rPr>
  </w:style>
  <w:style w:type="paragraph" w:customStyle="1" w:styleId="Style27">
    <w:name w:val="Основной текст (4)"/>
    <w:basedOn w:val="Normal"/>
    <w:link w:val="CharStyle28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Relationship Id="rId23" Type="http://schemas.openxmlformats.org/officeDocument/2006/relationships/image" Target="media/image5.jpeg"/><Relationship Id="rId24" Type="http://schemas.openxmlformats.org/officeDocument/2006/relationships/image" Target="media/image5.jpeg" TargetMode="External"/></Relationships>
</file>