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2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8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2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Федеральной антимонопольной службы</w:t>
        <w:br/>
        <w:t>по Орловской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Салтыкова-Щедрина, д. 21, г. Орел, ГСП, 302028</w:t>
        <w:br/>
        <w:t>тел. (4862) 47-53-57, факс (4862) 76-44-60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1о57@Га8.§оу.ги</w:t>
      </w:r>
    </w:p>
    <w:p>
      <w:pPr>
        <w:pStyle w:val="Style13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0.11,2023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НАД 181/2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</w:pPr>
      <w:r>
        <w:rPr>
          <w:color w:val="4460A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Заявителю: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Тожибаеву Захиджону Пазилжоновичу 620075, Свердловская область, г. Екатеринбург, ул. Малышева, 77, 40 е-та1: ^р.xак^^xкоп@дта^1.сот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Заказчику: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МКУ «Объединенный муниципальный заказчик города Орла» 302015, Орловская обл., г. Орёл, Наугорское шоссе, д. 27а е-та1: и8ОVа1:апуа16@уап^еx.^и; ре!:к0999@уап4ех.ги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Уполномоченному органу: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Администрации города Орла 302000, г. Орел, ул. Пролетарская гора, д.1, каб.413 е-та1: итх@оге1-а4т.ги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Оператору ЭП: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6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Электронной торговой площадке «Фабрикант» е-та1: тГо@ГаЪпкап1:.ги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580" w:bottom="1226" w:left="1140" w:header="0" w:footer="3" w:gutter="0"/>
          <w:pgNumType w:start="1"/>
          <w:cols w:num="2" w:space="720" w:equalWidth="0">
            <w:col w:w="4214" w:space="1162"/>
            <w:col w:w="4805"/>
          </w:cols>
          <w:noEndnote/>
          <w:titlePg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№ 0154300014623000907</w:t>
      </w:r>
    </w:p>
    <w:p>
      <w:pPr>
        <w:widowControl w:val="0"/>
        <w:spacing w:line="117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7" w:right="0" w:bottom="119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РЕШЕНИЕ№ 057/06/31-574/2023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26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нарушении законодательства о закупках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6679565</wp:posOffset>
                </wp:positionH>
                <wp:positionV relativeFrom="paragraph">
                  <wp:posOffset>12700</wp:posOffset>
                </wp:positionV>
                <wp:extent cx="521335" cy="23495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133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Орёл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25.95000000000005pt;margin-top:1.pt;width:41.050000000000004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Орёл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 ноября 2023 года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Орловской области (далее - Управление) по контролю закупок в составе: заместителя председателя комиссии - Аксеновой Н.С., начальника отдела антимонопольного контроля товарных и финансовых рынков; членов комиссии: Верижниковой Е.В., главного специалиста- эксперта отдела контроля закупок и антимонопольного контроля органов власти, Торшиной О.А., главного специалиста-эксперта отдела контроля закупок и антимонопольного контроля органов власти, (далее - Комиссия),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 - МКУ «Объединенный муниципальный заказчик города Орла» (далее - Заказчик) - Фоновой Н.В.;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уполномоченного органа: администрации города Орла (далее - Уполномоченный орган) Дерябкиной Т.Ю.,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111111111111III111111111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представителя заявителя - ИП Тожибаева Захиджона Пазилжоновича (далее - Заявитель), извещенного о времени и месте заседания Комиссии в установленном порядке,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с использованием сервиса видеоконференций ТгиеС'опГ жалобу ИП Тожибаева Захиджона Пазилжоновича на действия Заказчика при проведении запроса котировок в электронной форме на выполнение работ по увеличению уровня освещенности автомобильной дороги по ул. Р. Люксембург (на участке от моста через р. Ока «Дружба» до ул. Комсомольская) и автомобильной дороги по ул. 5 Августа (на участке от моста через р. Ока «Дружба» до ул. 1-я Курская), извещение № 0154300014623000907 (далее - Закупка) (далее - Жалоба),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№ 44-ФЗ), и в результате осуществления внеплановой проверки в соответствии с пунктом 1 части 15 статьи 99 Закона № 44-ФЗ,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жалобе Заявитель указал, что извещение об осуществлении Закупки не соответствуют требованиям Закона № 44-ФЗ, а именно: неправомерно не установлено дополнительное требование к участникам закупки в соответствии с частью 2 статьи 31 Закона № 44-ФЗ (согласно позиции 18 приложения Постановления Правительства Российской Федерации от 29 декабря 2021 г.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- Постановление № 2571).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Представители Заказчика, Уполномоченного органа полагают, что извещение об осуществлении Закупки соответствует требованиям Закона № 44-ФЗ, в связи с чем жалобу Заявителя считают необоснованной.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Комиссия установила следующее.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об осуществлении закупки размещено в единой информационной системе /акиркгдоу.ги - 23.10.2023;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способ определения поставщика (подрядчика, исполнителя) - Запрос котировок в электронной форме;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1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- 5 117 433,83 рублей;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1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срока подачи заявок - 30.10.2023 10:00;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1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подведения итогов - 01.11.2023;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участие в Закупке была подана одна заявка, которая были признана соответствующей требованиям извещения об осуществлении Закупки.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Закупка признана несостоявшейся в связи с тем, что по окончании срока подачи заявок на участие в Закупке подана только одна заявка на участие в Закупке.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По доводу, изложенному в жалобе.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пункта 12 части 1 статьи 42 Закона № 44-ФЗ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частью 1 статьи 31 Закона № 44- ФЗ, требования, предъявляемые к участникам закупки в соответствии с частями 2 и 2.1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(при наличии таких требований) статьи 31 Закона № 44-ФЗ,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Закона № 44-ФЗ (при наличии такого требования).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части 2 статьи 31 Закона № 44-ФЗ следует, что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4 статьи 31 Закона № 44-ФЗ предусмотрено, что в случае установления Правительством Российской Федерации в соответствии с частями 2 и 2.1 статьи 31 Закона № 44-ФЗ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5 статьи 31 Закона № 44-ФЗ информация об установленных требованиях в соответствии с частями 1, 1.1, 2 и 2.1 настоящей статьи указывается заказчиком в извещении об осуществлении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740"/>
        <w:jc w:val="both"/>
      </w:pPr>
      <w:r>
        <mc:AlternateContent>
          <mc:Choice Requires="wps">
            <w:drawing>
              <wp:anchor distT="0" distB="130810" distL="114300" distR="3165475" simplePos="0" relativeHeight="125829380" behindDoc="0" locked="0" layoutInCell="1" allowOverlap="1">
                <wp:simplePos x="0" y="0"/>
                <wp:positionH relativeFrom="page">
                  <wp:posOffset>2265680</wp:posOffset>
                </wp:positionH>
                <wp:positionV relativeFrom="paragraph">
                  <wp:posOffset>1003300</wp:posOffset>
                </wp:positionV>
                <wp:extent cx="1527175" cy="29591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27175" cy="295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Дополнительные требования к</w:t>
                              <w:br/>
                              <w:t>участникам закупки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78.40000000000001pt;margin-top:79.pt;width:120.25pt;height:23.300000000000001pt;z-index:-125829373;mso-wrap-distance-left:9.pt;mso-wrap-distance-right:249.25pt;mso-wrap-distance-bottom:10.3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Дополнительные требования к</w:t>
                        <w:br/>
                        <w:t>участникам закупки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2147570" distR="114300" simplePos="0" relativeHeight="125829382" behindDoc="0" locked="0" layoutInCell="1" allowOverlap="1">
                <wp:simplePos x="0" y="0"/>
                <wp:positionH relativeFrom="page">
                  <wp:posOffset>4298950</wp:posOffset>
                </wp:positionH>
                <wp:positionV relativeFrom="paragraph">
                  <wp:posOffset>1003300</wp:posOffset>
                </wp:positionV>
                <wp:extent cx="2545080" cy="42672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45080" cy="4267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Информация и документы,</w:t>
                              <w:br/>
                              <w:t>подтверждающие соответствие участников закупки</w:t>
                              <w:br/>
                              <w:t>дополнительным требованиям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38.5pt;margin-top:79.pt;width:200.40000000000001pt;height:33.600000000000001pt;z-index:-125829371;mso-wrap-distance-left:169.0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Информация и документы,</w:t>
                        <w:br/>
                        <w:t>подтверждающие соответствие участников закупки</w:t>
                        <w:br/>
                        <w:t>дополнительным требованиям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Позицией 18 приложения к Постановлению № 2571 установлено, что в случае осуществления закупки на выполнение по ремонту, содержанию автомобильной дороги к участникам закупки устанавливается дополнительное требование о наличии у участника закупки опыта выполнения работ: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</w:t>
        <w:br/>
        <w:t>отдельных видов</w:t>
        <w:br/>
        <w:t>товаров, работ, услуг,</w:t>
        <w:br/>
        <w:t>являющихся объектом</w:t>
        <w:br/>
        <w:t>закупки, наименование,</w:t>
        <w:br/>
        <w:t>товаров, работ, услуг,</w:t>
        <w:br/>
        <w:t>являющихся объектом</w:t>
        <w:br/>
        <w:t>отдельных видов закупок</w:t>
        <w:br/>
        <w:t>Дополнительные</w:t>
        <w:br/>
        <w:t>требования к</w:t>
        <w:br/>
        <w:t>участникам закупки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r>
        <mc:AlternateContent>
          <mc:Choice Requires="wps">
            <w:drawing>
              <wp:anchor distT="0" distB="1840865" distL="114300" distR="2031365" simplePos="0" relativeHeight="125829384" behindDoc="0" locked="0" layoutInCell="1" allowOverlap="1">
                <wp:simplePos x="0" y="0"/>
                <wp:positionH relativeFrom="page">
                  <wp:posOffset>750570</wp:posOffset>
                </wp:positionH>
                <wp:positionV relativeFrom="paragraph">
                  <wp:posOffset>12700</wp:posOffset>
                </wp:positionV>
                <wp:extent cx="1146175" cy="429895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6175" cy="4298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Работы по ремонту, содержанию автомобильной дороги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9.100000000000001pt;margin-top:1.pt;width:90.25pt;height:33.850000000000001pt;z-index:-125829369;mso-wrap-distance-left:9.pt;mso-wrap-distance-right:159.95000000000002pt;mso-wrap-distance-bottom:144.95000000000002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Работы по ремонту, содержанию автомобильной дороги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477010" distR="114300" simplePos="0" relativeHeight="125829386" behindDoc="0" locked="0" layoutInCell="1" allowOverlap="1">
                <wp:simplePos x="0" y="0"/>
                <wp:positionH relativeFrom="page">
                  <wp:posOffset>2113280</wp:posOffset>
                </wp:positionH>
                <wp:positionV relativeFrom="paragraph">
                  <wp:posOffset>12700</wp:posOffset>
                </wp:positionV>
                <wp:extent cx="1700530" cy="2270760"/>
                <wp:wrapSquare wrapText="righ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0530" cy="2270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наличие у участника закупки следующего опыта выполнения работ: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97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опыт исполнения договора, предусматривающего выполнение работ по ремонту, содержанию автомобильной дороги;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97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опыт исполнения договора, предусматривающего выполнение работ по капитальному ремонту автомобильной дороги;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97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опыт исполнения договора строительного подряда, предусматривающего выполнение работ по строительству, реконструкции автомобильной дороги;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66.40000000000001pt;margin-top:1.pt;width:133.90000000000001pt;height:178.80000000000001pt;z-index:-125829367;mso-wrap-distance-left:116.3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наличие у участника закупки следующего опыта выполнения работ: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97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опыт исполнения договора, предусматривающего выполнение работ по ремонту, содержанию автомобильной дороги;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97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опыт исполнения договора, предусматривающего выполнение работ по капитальному ремонту автомобильной дороги;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97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опыт исполнения договора строительного подряда, предусматривающего выполнение работ по строительству, реконструкции автомобильной дороги;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наличия опыта, предусмотренного пунктами 1 или 2 графы "Дополнительные требования к участникам закупки" настоящей позиции: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исполненный договор;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акт выполненных работ, подтверждающий цену выполненных работ.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наличия опыта, предусмотренного пунктом 3 графы "Дополнительные требования к участникам закупки" настоящей позиции: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406" w:val="left"/>
        </w:tabs>
        <w:bidi w:val="0"/>
        <w:spacing w:before="0" w:after="0" w:line="24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исполненный договор;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425" w:val="left"/>
        </w:tabs>
        <w:bidi w:val="0"/>
        <w:spacing w:before="0" w:after="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425" w:val="left"/>
        </w:tabs>
        <w:bidi w:val="0"/>
        <w:spacing w:before="0" w:after="28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</w:t>
      </w: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2113280</wp:posOffset>
                </wp:positionH>
                <wp:positionV relativeFrom="paragraph">
                  <wp:posOffset>12700</wp:posOffset>
                </wp:positionV>
                <wp:extent cx="1624330" cy="2399030"/>
                <wp:wrapSquare wrapText="righ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24330" cy="2399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4) опыт выполнения участником закупки, являющимся застройщиком, работ по строительству, реконструкции автомобильной дороги.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Цена выполненных работ по договорам, предусмотренным пунктами 1, 2 или 3 настоящей графы настоящей позиции, цена выполненных работ, предусмотренных пунктом 4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66.40000000000001pt;margin-top:1.pt;width:127.90000000000001pt;height:188.90000000000001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4) опыт выполнения участником закупки, являющимся застройщиком, работ по строительству, реконструкции автомобильной дороги.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Цена выполненных работ по договорам, предусмотренным пунктами 1, 2 или 3 настоящей графы настоящей позиции, цена выполненных работ, предусмотренных пунктом 4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градостроительной деятельности) или решение о технической готовности линейного объекта инфраструктуры к временной эксплуатации.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наличия опыта, предусмотренного пунктом 4 графы "Дополнительные требования к участникам закупки" настоящей позиции: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раздел 11 "Смета на строительство объектов капитального строительства" проектной документации;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2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разрешение на ввод объекта капитального строительства в эксплуатацию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Выполнение работ по текущему содержанию уличного наружного освещения согласно Приказу Министерства транспорта Российской Федерации от 16 ноября 2012 г. № 402 «Об утверждении Классификации работ по капитальному ремонту, ремонту и содержанию автомобильных дорог» (далее - Приказ Минтранса) относится к содержанию автомобильных дорог.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подпункта к) пункта 4 части 6 Приказа Минтранса следует, что в состав работ по содержанию автомобильных дорог входят по элементам обустройства автомобильных дорог: поддержание в чистоте и порядке линий электроосвещения (включая автономные системы освещения) дорог, искусственных сооружений, транспортных развязок, паромных переправ и других дорожных сооружений; обслуживание систем контроля и управления линиями электроосвещения; замена вышедших из строя ламп и светильников, проводов, кабелей, автоматических выключателей, трансформаторов и других элементов электроосвещения, техническое обслуживание трансформаторов, плата за расход электроэнергии на освещение, системы вентиляции, светофорные объекты, информационные щиты и указатели, метеостанции, видеосистемы, счетчики учета интенсивности движения и иные подобные объекты; проведение испытаний линий электроосвещения и электроснабжения; замена светильников на энергоэффективные; устройство недостающих элементов и оборудования электроснабжения и энергообеспечения.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этом, объектом закупки является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выполнение электромонтажных работ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(Код позиции КТРУ 43.21.10.000-00000004), указанному виду работ соответствует позиция ОКПД2 43.21.10 «Работы электромонтажные».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указанную группировку входят в том числе:</w:t>
      </w:r>
    </w:p>
    <w:p>
      <w:pPr>
        <w:pStyle w:val="Style1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4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работы по монтажу основных сетей электроосвещения и электроснабжения или электроарматуры, требующие специальной квалификации, в зданиях, сооружениях и прочих строительных объектах;</w:t>
      </w:r>
    </w:p>
    <w:p>
      <w:pPr>
        <w:pStyle w:val="Style1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3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работы по монтажу систем освещения и сигнализации автомобильных дорог, аэропортов и портов.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Представители Заказчика, уполномоченного органа пояснили, что в рамках контракта, который будет заключен по итогам Закупки, предусмотрено выполнение работ по монтажу светильников на линии сетей электроосвещения на автомобильной дороге.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Указанный довод подтверждается локальным сметным расчетом, размещенным в ЕИС в составе извещения об осуществлении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Учитывая изложенное, Комиссия приходит к выводу, что действия Заказчика в части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установления дополнительных требований к участникам Закупки в соответствии с позицией 18 приложения к Постановлению № 2571 не противоречат требованиям Закона № 44-ФЗ.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Одновременно с этим, Комиссия отмечает, что в силу части 4 статьи 105 Закона № 44-ФЗ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31.10.2023 в адрес Заявителя было направлено уведомление о принятии жалобы к рассмотрению, согласно которому, в целях реализации прав, предусмотренных частью 1 статьи 105 Закона № 44-ФЗ.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явку своих полномочных представителей не обеспечил, сведений (информацию) и документов, подтверждающих обоснованность довода жалобы, не представил.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довод Заявителя не нашел своего подтверждения.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Принимая во внимание вышеизложенное, и руководствуясь частью 8 статьи 106 Закона № 44-ФЗ, Комиссия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Жалобу ИП Тожибаева Захиджона Пазилжоновича признать необоснованной.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Приостановление определения поставщика отменить.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7" w:right="513" w:bottom="1192" w:left="100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0" distL="0" distR="0" simplePos="0" relativeHeight="125829390" behindDoc="0" locked="0" layoutInCell="1" allowOverlap="1">
                <wp:simplePos x="0" y="0"/>
                <wp:positionH relativeFrom="page">
                  <wp:posOffset>768985</wp:posOffset>
                </wp:positionH>
                <wp:positionV relativeFrom="paragraph">
                  <wp:posOffset>88900</wp:posOffset>
                </wp:positionV>
                <wp:extent cx="1700530" cy="42354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0530" cy="4235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Заместитель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Председателя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60.550000000000004pt;margin-top:7.pt;width:133.90000000000001pt;height:33.350000000000001pt;z-index:-125829363;mso-wrap-distance-left:0;mso-wrap-distance-top:7.pt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Заместитель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Председателя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0190" distB="6350" distL="0" distR="0" simplePos="0" relativeHeight="125829392" behindDoc="0" locked="0" layoutInCell="1" allowOverlap="1">
                <wp:simplePos x="0" y="0"/>
                <wp:positionH relativeFrom="page">
                  <wp:posOffset>3103880</wp:posOffset>
                </wp:positionH>
                <wp:positionV relativeFrom="paragraph">
                  <wp:posOffset>250190</wp:posOffset>
                </wp:positionV>
                <wp:extent cx="1722120" cy="25590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4.40000000000001pt;margin-top:19.699999999999999pt;width:135.59999999999999pt;height:20.150000000000002pt;z-index:-125829361;mso-wrap-distance-left:0;mso-wrap-distance-top:19.699999999999999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8130" distB="0" distL="0" distR="0" simplePos="0" relativeHeight="125829394" behindDoc="0" locked="0" layoutInCell="1" allowOverlap="1">
                <wp:simplePos x="0" y="0"/>
                <wp:positionH relativeFrom="page">
                  <wp:posOffset>6170295</wp:posOffset>
                </wp:positionH>
                <wp:positionV relativeFrom="paragraph">
                  <wp:posOffset>278130</wp:posOffset>
                </wp:positionV>
                <wp:extent cx="1051560" cy="23495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156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Н.С. Аксенова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5.85000000000002pt;margin-top:21.900000000000002pt;width:82.799999999999997pt;height:18.5pt;z-index:-125829359;mso-wrap-distance-left:0;mso-wrap-distance-top:21.900000000000002pt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Н.С. Аксенова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0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Аксёнова Наталия Сергеевна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00СА9305Р16Е8532В38СЭА06376В67АС47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02.10.2023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25.12.2024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540" w:right="0" w:firstLine="0"/>
        <w:jc w:val="left"/>
      </w:pPr>
      <w:r>
        <w:drawing>
          <wp:anchor distT="0" distB="0" distL="114300" distR="1900555" simplePos="0" relativeHeight="125829396" behindDoc="0" locked="0" layoutInCell="1" allowOverlap="1">
            <wp:simplePos x="0" y="0"/>
            <wp:positionH relativeFrom="page">
              <wp:posOffset>2689225</wp:posOffset>
            </wp:positionH>
            <wp:positionV relativeFrom="paragraph">
              <wp:posOffset>50800</wp:posOffset>
            </wp:positionV>
            <wp:extent cx="353695" cy="53657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3146425</wp:posOffset>
                </wp:positionH>
                <wp:positionV relativeFrom="paragraph">
                  <wp:posOffset>453390</wp:posOffset>
                </wp:positionV>
                <wp:extent cx="1280160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7.75pt;margin-top:35.70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3103880</wp:posOffset>
                </wp:positionH>
                <wp:positionV relativeFrom="paragraph">
                  <wp:posOffset>139065</wp:posOffset>
                </wp:positionV>
                <wp:extent cx="172212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4.40000000000001pt;margin-top:10.950000000000001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Е.В. Верижникова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Верижникова Екатерина Васильевна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1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В9443АСВ6ВС6АА6ВВР53С752В22Р68О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23.01.2023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17.04.2024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left="1980" w:right="0" w:firstLine="0"/>
        <w:jc w:val="left"/>
      </w:pPr>
      <w:r>
        <w:drawing>
          <wp:anchor distT="0" distB="0" distL="114300" distR="1900555" simplePos="0" relativeHeight="125829397" behindDoc="0" locked="0" layoutInCell="1" allowOverlap="1">
            <wp:simplePos x="0" y="0"/>
            <wp:positionH relativeFrom="page">
              <wp:posOffset>2689225</wp:posOffset>
            </wp:positionH>
            <wp:positionV relativeFrom="paragraph">
              <wp:posOffset>114300</wp:posOffset>
            </wp:positionV>
            <wp:extent cx="353695" cy="536575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3146425</wp:posOffset>
                </wp:positionH>
                <wp:positionV relativeFrom="paragraph">
                  <wp:posOffset>516890</wp:posOffset>
                </wp:positionV>
                <wp:extent cx="1283335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7.75pt;margin-top:40.7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3103880</wp:posOffset>
                </wp:positionH>
                <wp:positionV relativeFrom="paragraph">
                  <wp:posOffset>205740</wp:posOffset>
                </wp:positionV>
                <wp:extent cx="1722120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44.40000000000001pt;margin-top:16.199999999999999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О.А. Торшина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Торшина Ольга Александровна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7Е80А5ЕС9В6А43Р463Р31С580ЕА6344В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23.12.2022 </w:t>
      </w:r>
      <w:r>
        <w:rPr>
          <w:color w:val="82828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>17.03.2024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части 9 статьи 106 Закона № 44-ФЗ решение, принятое по результатам рассмотрения жалобы, может быть обжаловано в течение трех месяцев со дня его принятия.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60" w:bottom="1110" w:left="96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718820</wp:posOffset>
              </wp:positionH>
              <wp:positionV relativeFrom="page">
                <wp:posOffset>10038080</wp:posOffset>
              </wp:positionV>
              <wp:extent cx="647065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2023-4644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600000000000001pt;margin-top:790.39999999999998pt;width:509.5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2023-4644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2023-4644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2023-4644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7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4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character" w:customStyle="1" w:styleId="CharStyle11">
    <w:name w:val="Основной текст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4">
    <w:name w:val="Заголовок №2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Основной текст (5)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25">
    <w:name w:val="Заголовок №1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character" w:customStyle="1" w:styleId="CharStyle27">
    <w:name w:val="Подпись к картинке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31">
    <w:name w:val="Основной текст (6)_"/>
    <w:basedOn w:val="DefaultParagraphFont"/>
    <w:link w:val="Style3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character" w:customStyle="1" w:styleId="CharStyle33">
    <w:name w:val="Основной текст (3)_"/>
    <w:basedOn w:val="DefaultParagraphFont"/>
    <w:link w:val="Style32"/>
    <w:rPr>
      <w:rFonts w:ascii="Arial" w:eastAsia="Arial" w:hAnsi="Arial" w:cs="Arial"/>
      <w:b w:val="0"/>
      <w:bCs w:val="0"/>
      <w:i w:val="0"/>
      <w:iCs w:val="0"/>
      <w:smallCaps w:val="0"/>
      <w:strike w:val="0"/>
      <w:color w:val="4A4A4A"/>
      <w:sz w:val="12"/>
      <w:szCs w:val="12"/>
      <w:u w:val="none"/>
    </w:rPr>
  </w:style>
  <w:style w:type="paragraph" w:customStyle="1" w:styleId="Style2">
    <w:name w:val="Основной текст (7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auto"/>
      <w:spacing w:after="12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paragraph" w:customStyle="1" w:styleId="Style10">
    <w:name w:val="Основной текст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3">
    <w:name w:val="Заголовок №2"/>
    <w:basedOn w:val="Normal"/>
    <w:link w:val="CharStyle14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Основной текст (5)"/>
    <w:basedOn w:val="Normal"/>
    <w:link w:val="CharStyle22"/>
    <w:pPr>
      <w:widowControl w:val="0"/>
      <w:shd w:val="clear" w:color="auto" w:fill="auto"/>
      <w:spacing w:line="21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24">
    <w:name w:val="Заголовок №1"/>
    <w:basedOn w:val="Normal"/>
    <w:link w:val="CharStyle25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paragraph" w:customStyle="1" w:styleId="Style26">
    <w:name w:val="Подпись к картинке"/>
    <w:basedOn w:val="Normal"/>
    <w:link w:val="CharStyle27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30">
    <w:name w:val="Основной текст (6)"/>
    <w:basedOn w:val="Normal"/>
    <w:link w:val="CharStyle31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paragraph" w:customStyle="1" w:styleId="Style32">
    <w:name w:val="Основной текст (3)"/>
    <w:basedOn w:val="Normal"/>
    <w:link w:val="CharStyle33"/>
    <w:pPr>
      <w:widowControl w:val="0"/>
      <w:shd w:val="clear" w:color="auto" w:fill="auto"/>
      <w:ind w:left="32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A4A4A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