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765175" cy="25019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ГКУ ЦЗН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25pt;margin-top:1.pt;width:60.25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ГКУ ЦЗН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7079" w:bottom="621" w:left="16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63500</wp:posOffset>
                </wp:positionV>
                <wp:extent cx="895985" cy="1524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25.65000000000001pt;margin-top:5.pt;width:70.549999999999997pt;height:12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2700" distR="12700" simplePos="0" relativeHeight="125829382" behindDoc="0" locked="0" layoutInCell="1" allowOverlap="1">
                <wp:simplePos x="0" y="0"/>
                <wp:positionH relativeFrom="page">
                  <wp:posOffset>1684020</wp:posOffset>
                </wp:positionH>
                <wp:positionV relativeFrom="paragraph">
                  <wp:posOffset>355600</wp:posOffset>
                </wp:positionV>
                <wp:extent cx="722630" cy="15240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32.59999999999999pt;margin-top:28.pt;width:56.899999999999999pt;height:12.pt;z-index:-125829371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схп@8оыа1.то8.ги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621" w:left="39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4"/>
        <w:keepNext w:val="0"/>
        <w:keepLines w:val="0"/>
        <w:framePr w:w="2453" w:h="461" w:wrap="none" w:vAnchor="text" w:hAnchor="page" w:x="19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4"/>
        <w:keepNext w:val="0"/>
        <w:keepLines w:val="0"/>
        <w:framePr w:w="3835" w:h="917" w:wrap="none" w:vAnchor="text" w:hAnchor="page" w:x="1270" w:y="41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2"/>
        <w:keepNext w:val="0"/>
        <w:keepLines w:val="0"/>
        <w:framePr w:w="3835" w:h="917" w:wrap="none" w:vAnchor="text" w:hAnchor="page" w:x="1270" w:y="419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47704/23</w:t>
      </w:r>
    </w:p>
    <w:p>
      <w:pPr>
        <w:pStyle w:val="Style2"/>
        <w:keepNext w:val="0"/>
        <w:keepLines w:val="0"/>
        <w:framePr w:w="1882" w:h="398" w:wrap="none" w:vAnchor="text" w:hAnchor="page" w:x="6406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1&lt;о@го8е11огд.П1</w:t>
      </w:r>
    </w:p>
    <w:p>
      <w:pPr>
        <w:pStyle w:val="Style2"/>
        <w:keepNext w:val="0"/>
        <w:keepLines w:val="0"/>
        <w:framePr w:w="2222" w:h="398" w:wrap="none" w:vAnchor="text" w:hAnchor="page" w:x="6406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45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pt;margin-top:1.pt;width:24.5pt;height:12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^р.xакМxЪоп@дта^1.сот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№077/06/106-15584/2023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6383655</wp:posOffset>
                </wp:positionH>
                <wp:positionV relativeFrom="paragraph">
                  <wp:posOffset>38100</wp:posOffset>
                </wp:positionV>
                <wp:extent cx="798830" cy="20447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2.65000000000003pt;margin-top:3.pt;width:62.899999999999999pt;height:16.1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ГКУ ЦЗН,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Тожибаев З.П. уведомленных о порядке и времени проведения заседания надлежащим образом Московским УФАС по средствам функционала Единой информационной системы в сфере закупок,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З.П. (далее — Заявитель) на действия ГКУ ЦЗН (далее — Заказчик) при проведении открытого конкурса в электронной форме на право заключения государственного контракта на текущий ремонт на объектах ГКУ ЦЗН (Закупка № 0873500000123000021)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представлены, запрашиваемые Московским УФАС России, документы и сведения.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закупок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конкурсной документацией оценка заявок производится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РФ от 31.12.2021 № 2604 «Об оценке заявок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открытого конкурса в электронной форме от 14.10.2023 №0873500000123000021 предметом закупочной процедуры является выполнение работ по текущему ремонту на объектах ГКУ ЦЗН.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установлено следующее положение порядка оценки заявок по показателю «Наличие у участников закупки опыта работы, связанного с предметом контракта»: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«Под работами, связанными с предметом контракта (договора) понимается выполнение работ по текущему ремонту зданий, сооружений, капитальному ремонту объекта капитального строительства (за исключением линейного объекта)».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установленные в порядке оценки противоречит положениям п.33 Положений, поскольку установленный порядок не предусматривает возможность представления опыта по строительству и реконструкции объектов капитального строительства, несмотря на то, что такой опыт является сопоставимым объекту закупочной процедуры.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пп. «в» п.33 Положений при осуществлении закупки, по результатам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проведения которой заключается контракт на выполнение работ по текущему ремонту зданий, сооружений документом, предусмотренным приложением №1 к настоящему Положению, в отношении показателя,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указанным доводом жалобы и пояснил, что вышеуказанные нарушения явились следствием технической ошибки, допущенной при формировании порядка оценки.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нарушении ч.8 ст.32, п.11 ч.1 ст.42 Закона о контрактной системе при установлении подобным образом положений порядка оценки по показателю «Наличие у участников закупки опыта поставки товара, выполнения работы, оказания услуги, связанного с предметом контракта», поскольку такой порядок оценки нарушает принципы законодательства о контрактной системе и препятствует выявлению лучших условий исполнения контракта,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2" w:right="535" w:bottom="962" w:left="1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 З.П. на действия ГКУ ЦЗН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ч.8 ст.32, п.11 ч.1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9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01295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736600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58.pt;width:145.70000000000002pt;height:19.900000000000002pt;z-index:-125829365;mso-wrap-distance-left:0;mso-wrap-distance-top:58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8040" distB="0" distL="0" distR="1807210" simplePos="0" relativeHeight="12582939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828040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901065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70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01295" distL="0" distR="0" simplePos="0" relativeHeight="12582939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58.pt;width:102.95pt;height:19.900000000000002pt;z-index:-125829362;mso-wrap-distance-left:0;mso-wrap-distance-top:58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6366183222Е5ЭСЕ2САЗЕ6О732820С91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9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5000000000003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44СЕО19Э689ЕВ23598ВССВР99Е1С6Е2С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10.04.2023 по 03.07.2024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10121900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2023-54052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7.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2023-54052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2023-54052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2023-54052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8.94999999999999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6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15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auto"/>
      <w:spacing w:after="114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