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3726180</wp:posOffset>
            </wp:positionH>
            <wp:positionV relativeFrom="paragraph">
              <wp:posOffset>12700</wp:posOffset>
            </wp:positionV>
            <wp:extent cx="524510" cy="61595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24510" cy="615950"/>
                    </a:xfrm>
                    <a:prstGeom prst="rect"/>
                  </pic:spPr>
                </pic:pic>
              </a:graphicData>
            </a:graphic>
          </wp:anchor>
        </w:drawing>
      </w:r>
      <w:r>
        <mc:AlternateContent>
          <mc:Choice Requires="wps">
            <w:drawing>
              <wp:anchor distT="0" distB="554355" distL="114300" distR="114300" simplePos="0" relativeHeight="125829379" behindDoc="0" locked="0" layoutInCell="1" allowOverlap="1">
                <wp:simplePos x="0" y="0"/>
                <wp:positionH relativeFrom="page">
                  <wp:posOffset>705485</wp:posOffset>
                </wp:positionH>
                <wp:positionV relativeFrom="paragraph">
                  <wp:posOffset>94615</wp:posOffset>
                </wp:positionV>
                <wp:extent cx="2688590" cy="2124710"/>
                <wp:wrapSquare wrapText="right"/>
                <wp:docPr id="3" name="Shape 3"/>
                <a:graphic xmlns:a="http://schemas.openxmlformats.org/drawingml/2006/main">
                  <a:graphicData uri="http://schemas.microsoft.com/office/word/2010/wordprocessingShape">
                    <wps:wsp>
                      <wps:cNvSpPr txBox="1"/>
                      <wps:spPr>
                        <a:xfrm>
                          <a:ext cx="2688590" cy="2124710"/>
                        </a:xfrm>
                        <a:prstGeom prst="rect"/>
                        <a:noFill/>
                      </wps:spPr>
                      <wps:txbx>
                        <w:txbxContent>
                          <w:p>
                            <w:pPr>
                              <w:pStyle w:val="Style2"/>
                              <w:keepNext w:val="0"/>
                              <w:keepLines w:val="0"/>
                              <w:widowControl w:val="0"/>
                              <w:shd w:val="clear" w:color="auto" w:fill="auto"/>
                              <w:bidi w:val="0"/>
                              <w:spacing w:before="0" w:line="300"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УПРАВЛЕНИЕ</w:t>
                              <w:br/>
                              <w:t>Федеральной антимонопольной</w:t>
                              <w:br/>
                              <w:t>службы</w:t>
                              <w:br/>
                              <w:t>по Республике Коми</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ул. Интернациональная, 160А, г. Сыктывкар,</w:t>
                              <w:br/>
                              <w:t>ГСП-2, 167982, тел./факс: (8212) 21-41-29</w:t>
                              <w:br/>
                              <w:t>е-таП: 1о11@Га8.§оу.ги</w:t>
                            </w:r>
                          </w:p>
                          <w:p>
                            <w:pPr>
                              <w:pStyle w:val="Style7"/>
                              <w:keepNext w:val="0"/>
                              <w:keepLines w:val="0"/>
                              <w:widowControl w:val="0"/>
                              <w:shd w:val="clear" w:color="auto" w:fill="auto"/>
                              <w:tabs>
                                <w:tab w:pos="1810" w:val="left"/>
                              </w:tabs>
                              <w:bidi w:val="0"/>
                              <w:spacing w:before="0" w:line="240" w:lineRule="auto"/>
                              <w:ind w:left="0" w:right="0" w:firstLine="0"/>
                              <w:jc w:val="center"/>
                            </w:pPr>
                            <w:r>
                              <w:rPr>
                                <w:color w:val="000000"/>
                                <w:spacing w:val="0"/>
                                <w:w w:val="100"/>
                                <w:position w:val="0"/>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0.11.2023</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ОД/6971/2</w:t>
                            </w:r>
                            <w:r>
                              <w:rPr>
                                <w:color w:val="000000"/>
                                <w:spacing w:val="0"/>
                                <w:w w:val="100"/>
                                <w:position w:val="0"/>
                                <w:u w:val="none"/>
                                <w:shd w:val="clear" w:color="auto" w:fill="auto"/>
                                <w:lang w:val="ru-RU" w:eastAsia="ru-RU" w:bidi="ru-RU"/>
                              </w:rPr>
                              <w:t>3</w:t>
                            </w:r>
                          </w:p>
                          <w:p>
                            <w:pPr>
                              <w:pStyle w:val="Style5"/>
                              <w:keepNext w:val="0"/>
                              <w:keepLines w:val="0"/>
                              <w:widowControl w:val="0"/>
                              <w:shd w:val="clear" w:color="auto" w:fill="auto"/>
                              <w:bidi w:val="0"/>
                              <w:spacing w:before="0" w:line="271" w:lineRule="auto"/>
                              <w:ind w:left="0" w:right="0" w:firstLine="0"/>
                              <w:jc w:val="left"/>
                              <w:rPr>
                                <w:sz w:val="18"/>
                                <w:szCs w:val="18"/>
                              </w:rPr>
                            </w:pPr>
                            <w:r>
                              <w:rPr>
                                <w:b w:val="0"/>
                                <w:bCs w:val="0"/>
                                <w:spacing w:val="0"/>
                                <w:w w:val="100"/>
                                <w:position w:val="0"/>
                                <w:sz w:val="18"/>
                                <w:szCs w:val="18"/>
                                <w:shd w:val="clear" w:color="auto" w:fill="auto"/>
                                <w:lang w:val="ru-RU" w:eastAsia="ru-RU" w:bidi="ru-RU"/>
                              </w:rPr>
                              <w:t xml:space="preserve">На №  от</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5.550000000000004pt;margin-top:7.4500000000000002pt;width:211.70000000000002pt;height:167.30000000000001pt;z-index:-125829374;mso-wrap-distance-left:9.pt;mso-wrap-distance-right:9.pt;mso-wrap-distance-bottom:43.649999999999999pt;mso-position-horizontal-relative:page" filled="f" stroked="f">
                <v:textbox inset="0,0,0,0">
                  <w:txbxContent>
                    <w:p>
                      <w:pPr>
                        <w:pStyle w:val="Style2"/>
                        <w:keepNext w:val="0"/>
                        <w:keepLines w:val="0"/>
                        <w:widowControl w:val="0"/>
                        <w:shd w:val="clear" w:color="auto" w:fill="auto"/>
                        <w:bidi w:val="0"/>
                        <w:spacing w:before="0" w:line="300"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УПРАВЛЕНИЕ</w:t>
                        <w:br/>
                        <w:t>Федеральной антимонопольной</w:t>
                        <w:br/>
                        <w:t>службы</w:t>
                        <w:br/>
                        <w:t>по Республике Коми</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ул. Интернациональная, 160А, г. Сыктывкар,</w:t>
                        <w:br/>
                        <w:t>ГСП-2, 167982, тел./факс: (8212) 21-41-29</w:t>
                        <w:br/>
                        <w:t>е-таП: 1о11@Га8.§оу.ги</w:t>
                      </w:r>
                    </w:p>
                    <w:p>
                      <w:pPr>
                        <w:pStyle w:val="Style7"/>
                        <w:keepNext w:val="0"/>
                        <w:keepLines w:val="0"/>
                        <w:widowControl w:val="0"/>
                        <w:shd w:val="clear" w:color="auto" w:fill="auto"/>
                        <w:tabs>
                          <w:tab w:pos="1810" w:val="left"/>
                        </w:tabs>
                        <w:bidi w:val="0"/>
                        <w:spacing w:before="0" w:line="240" w:lineRule="auto"/>
                        <w:ind w:left="0" w:right="0" w:firstLine="0"/>
                        <w:jc w:val="center"/>
                      </w:pPr>
                      <w:r>
                        <w:rPr>
                          <w:color w:val="000000"/>
                          <w:spacing w:val="0"/>
                          <w:w w:val="100"/>
                          <w:position w:val="0"/>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0.11.2023</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ОД/6971/2</w:t>
                      </w:r>
                      <w:r>
                        <w:rPr>
                          <w:color w:val="000000"/>
                          <w:spacing w:val="0"/>
                          <w:w w:val="100"/>
                          <w:position w:val="0"/>
                          <w:u w:val="none"/>
                          <w:shd w:val="clear" w:color="auto" w:fill="auto"/>
                          <w:lang w:val="ru-RU" w:eastAsia="ru-RU" w:bidi="ru-RU"/>
                        </w:rPr>
                        <w:t>3</w:t>
                      </w:r>
                    </w:p>
                    <w:p>
                      <w:pPr>
                        <w:pStyle w:val="Style5"/>
                        <w:keepNext w:val="0"/>
                        <w:keepLines w:val="0"/>
                        <w:widowControl w:val="0"/>
                        <w:shd w:val="clear" w:color="auto" w:fill="auto"/>
                        <w:bidi w:val="0"/>
                        <w:spacing w:before="0" w:line="271" w:lineRule="auto"/>
                        <w:ind w:left="0" w:right="0" w:firstLine="0"/>
                        <w:jc w:val="left"/>
                        <w:rPr>
                          <w:sz w:val="18"/>
                          <w:szCs w:val="18"/>
                        </w:rPr>
                      </w:pPr>
                      <w:r>
                        <w:rPr>
                          <w:b w:val="0"/>
                          <w:bCs w:val="0"/>
                          <w:spacing w:val="0"/>
                          <w:w w:val="100"/>
                          <w:position w:val="0"/>
                          <w:sz w:val="18"/>
                          <w:szCs w:val="18"/>
                          <w:shd w:val="clear" w:color="auto" w:fill="auto"/>
                          <w:lang w:val="ru-RU" w:eastAsia="ru-RU" w:bidi="ru-RU"/>
                        </w:rPr>
                        <w:t xml:space="preserve">На №  от</w:t>
                      </w:r>
                    </w:p>
                  </w:txbxContent>
                </v:textbox>
                <w10:wrap type="square" side="right" anchorx="page"/>
              </v:shape>
            </w:pict>
          </mc:Fallback>
        </mc:AlternateContent>
      </w:r>
      <w:r>
        <mc:AlternateContent>
          <mc:Choice Requires="wps">
            <w:drawing>
              <wp:anchor distT="2444750" distB="0" distL="144780" distR="2098675" simplePos="0" relativeHeight="125829381" behindDoc="0" locked="0" layoutInCell="1" allowOverlap="1">
                <wp:simplePos x="0" y="0"/>
                <wp:positionH relativeFrom="page">
                  <wp:posOffset>735965</wp:posOffset>
                </wp:positionH>
                <wp:positionV relativeFrom="paragraph">
                  <wp:posOffset>2539365</wp:posOffset>
                </wp:positionV>
                <wp:extent cx="673735" cy="234950"/>
                <wp:wrapSquare wrapText="right"/>
                <wp:docPr id="5" name="Shape 5"/>
                <a:graphic xmlns:a="http://schemas.openxmlformats.org/drawingml/2006/main">
                  <a:graphicData uri="http://schemas.microsoft.com/office/word/2010/wordprocessingShape">
                    <wps:wsp>
                      <wps:cNvSpPr txBox="1"/>
                      <wps:spPr>
                        <a:xfrm>
                          <a:ext cx="673735" cy="23495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Решение</w:t>
                            </w:r>
                          </w:p>
                        </w:txbxContent>
                      </wps:txbx>
                      <wps:bodyPr wrap="none" lIns="0" tIns="0" rIns="0" bIns="0">
                        <a:noAutoFit/>
                      </wps:bodyPr>
                    </wps:wsp>
                  </a:graphicData>
                </a:graphic>
              </wp:anchor>
            </w:drawing>
          </mc:Choice>
          <mc:Fallback>
            <w:pict>
              <v:shape id="_x0000_s1031" type="#_x0000_t202" style="position:absolute;margin-left:57.950000000000003pt;margin-top:199.95000000000002pt;width:53.050000000000004pt;height:18.5pt;z-index:-125829372;mso-wrap-distance-left:11.4pt;mso-wrap-distance-top:192.5pt;mso-wrap-distance-right:165.25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Решение</w:t>
                      </w:r>
                    </w:p>
                  </w:txbxContent>
                </v:textbox>
                <w10:wrap type="square" side="right" anchorx="page"/>
              </v:shape>
            </w:pict>
          </mc:Fallback>
        </mc:AlternateContent>
      </w:r>
    </w:p>
    <w:p>
      <w:pPr>
        <w:pStyle w:val="Style2"/>
        <w:keepNext w:val="0"/>
        <w:keepLines w:val="0"/>
        <w:widowControl w:val="0"/>
        <w:shd w:val="clear" w:color="auto" w:fill="auto"/>
        <w:bidi w:val="0"/>
        <w:spacing w:before="0" w:line="300"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ФЕДЕРАЛЬНОЙ</w:t>
        <w:br/>
        <w:t>АНТИМОНОПОЛЬНОЙ СЛУЖБА</w:t>
      </w:r>
    </w:p>
    <w:p>
      <w:pPr>
        <w:pStyle w:val="Style5"/>
        <w:keepNext w:val="0"/>
        <w:keepLines w:val="0"/>
        <w:widowControl w:val="0"/>
        <w:shd w:val="clear" w:color="auto" w:fill="auto"/>
        <w:bidi w:val="0"/>
        <w:spacing w:before="0" w:after="0" w:line="254" w:lineRule="auto"/>
        <w:ind w:left="0" w:right="0" w:firstLine="0"/>
        <w:jc w:val="center"/>
      </w:pPr>
      <w:r>
        <w:rPr>
          <w:spacing w:val="0"/>
          <w:w w:val="100"/>
          <w:position w:val="0"/>
          <w:shd w:val="clear" w:color="auto" w:fill="auto"/>
          <w:lang w:val="ru-RU" w:eastAsia="ru-RU" w:bidi="ru-RU"/>
        </w:rPr>
        <w:t>Федеральной антимонопольной</w:t>
        <w:br/>
        <w:t>службалбн Коми Республиками</w:t>
      </w:r>
    </w:p>
    <w:p>
      <w:pPr>
        <w:pStyle w:val="Style5"/>
        <w:keepNext w:val="0"/>
        <w:keepLines w:val="0"/>
        <w:widowControl w:val="0"/>
        <w:shd w:val="clear" w:color="auto" w:fill="auto"/>
        <w:bidi w:val="0"/>
        <w:spacing w:before="0" w:after="260" w:line="254" w:lineRule="auto"/>
        <w:ind w:left="0" w:right="0" w:firstLine="0"/>
        <w:jc w:val="center"/>
      </w:pPr>
      <w:r>
        <w:rPr>
          <w:spacing w:val="0"/>
          <w:w w:val="100"/>
          <w:position w:val="0"/>
          <w:shd w:val="clear" w:color="auto" w:fill="auto"/>
          <w:lang w:val="ru-RU" w:eastAsia="ru-RU" w:bidi="ru-RU"/>
        </w:rPr>
        <w:t>ВЕСЬКОДЛАШН</w:t>
      </w:r>
    </w:p>
    <w:p>
      <w:pPr>
        <w:pStyle w:val="Style2"/>
        <w:keepNext w:val="0"/>
        <w:keepLines w:val="0"/>
        <w:widowControl w:val="0"/>
        <w:shd w:val="clear" w:color="auto" w:fill="auto"/>
        <w:bidi w:val="0"/>
        <w:spacing w:before="0" w:after="340"/>
        <w:ind w:left="0" w:right="0" w:firstLine="0"/>
        <w:jc w:val="center"/>
      </w:pPr>
      <w:r>
        <w:rPr>
          <w:spacing w:val="0"/>
          <w:w w:val="100"/>
          <w:position w:val="0"/>
          <w:shd w:val="clear" w:color="auto" w:fill="auto"/>
          <w:lang w:val="ru-RU" w:eastAsia="ru-RU" w:bidi="ru-RU"/>
        </w:rPr>
        <w:t>Интернациональной ул., 160А,</w:t>
        <w:br/>
        <w:t>Сыктывкар, ГСП-2, 167982</w:t>
        <w:br/>
        <w:t>тел./факс: (8212) 21-41-29</w:t>
        <w:br/>
        <w:t>е-таП: 1о11@Га8.§оу.ги</w:t>
      </w:r>
    </w:p>
    <w:p>
      <w:pPr>
        <w:pStyle w:val="Style16"/>
        <w:keepNext/>
        <w:keepLines/>
        <w:widowControl w:val="0"/>
        <w:shd w:val="clear" w:color="auto" w:fill="auto"/>
        <w:bidi w:val="0"/>
        <w:spacing w:before="0" w:after="0" w:line="240" w:lineRule="auto"/>
        <w:ind w:right="0" w:firstLine="0"/>
        <w:jc w:val="right"/>
      </w:pPr>
      <w:bookmarkStart w:id="0" w:name="bookmark0"/>
      <w:r>
        <w:rPr>
          <w:color w:val="000000"/>
          <w:spacing w:val="0"/>
          <w:w w:val="100"/>
          <w:position w:val="0"/>
          <w:shd w:val="clear" w:color="auto" w:fill="auto"/>
          <w:lang w:val="ru-RU" w:eastAsia="ru-RU" w:bidi="ru-RU"/>
        </w:rPr>
        <w:t>Индивидуальный предприниматель Тожибаев Захиджон Пазилжонович</w:t>
      </w:r>
      <w:bookmarkEnd w:id="0"/>
    </w:p>
    <w:p>
      <w:pPr>
        <w:pStyle w:val="Style11"/>
        <w:keepNext w:val="0"/>
        <w:keepLines w:val="0"/>
        <w:widowControl w:val="0"/>
        <w:shd w:val="clear" w:color="auto" w:fill="auto"/>
        <w:bidi w:val="0"/>
        <w:spacing w:before="0" w:after="260" w:line="240" w:lineRule="auto"/>
        <w:ind w:left="960" w:right="0" w:firstLine="20"/>
        <w:jc w:val="both"/>
      </w:pPr>
      <w:r>
        <w:rPr>
          <w:color w:val="000000"/>
          <w:spacing w:val="0"/>
          <w:w w:val="100"/>
          <w:position w:val="0"/>
          <w:shd w:val="clear" w:color="auto" w:fill="auto"/>
          <w:lang w:val="ru-RU" w:eastAsia="ru-RU" w:bidi="ru-RU"/>
        </w:rPr>
        <w:t>(через Единую информационную систему)</w:t>
      </w:r>
    </w:p>
    <w:p>
      <w:pPr>
        <w:pStyle w:val="Style11"/>
        <w:keepNext w:val="0"/>
        <w:keepLines w:val="0"/>
        <w:widowControl w:val="0"/>
        <w:shd w:val="clear" w:color="auto" w:fill="auto"/>
        <w:bidi w:val="0"/>
        <w:spacing w:before="0" w:after="0" w:line="240" w:lineRule="auto"/>
        <w:ind w:left="960" w:right="0" w:firstLine="20"/>
        <w:jc w:val="both"/>
      </w:pPr>
      <w:r>
        <w:rPr>
          <w:b/>
          <w:bCs/>
          <w:color w:val="000000"/>
          <w:spacing w:val="0"/>
          <w:w w:val="100"/>
          <w:position w:val="0"/>
          <w:shd w:val="clear" w:color="auto" w:fill="auto"/>
          <w:lang w:val="ru-RU" w:eastAsia="ru-RU" w:bidi="ru-RU"/>
        </w:rPr>
        <w:t>Управление строительства и жилищно</w:t>
        <w:softHyphen/>
        <w:t>коммунального хозяйства администрации муниципального района «Прилузский»</w:t>
      </w:r>
    </w:p>
    <w:p>
      <w:pPr>
        <w:pStyle w:val="Style11"/>
        <w:keepNext w:val="0"/>
        <w:keepLines w:val="0"/>
        <w:widowControl w:val="0"/>
        <w:shd w:val="clear" w:color="auto" w:fill="auto"/>
        <w:bidi w:val="0"/>
        <w:spacing w:before="0" w:after="260" w:line="240" w:lineRule="auto"/>
        <w:ind w:left="5380" w:right="0" w:firstLine="0"/>
        <w:jc w:val="both"/>
      </w:pPr>
      <w:r>
        <w:rPr>
          <w:color w:val="000000"/>
          <w:spacing w:val="0"/>
          <w:w w:val="100"/>
          <w:position w:val="0"/>
          <w:shd w:val="clear" w:color="auto" w:fill="auto"/>
          <w:lang w:val="ru-RU" w:eastAsia="ru-RU" w:bidi="ru-RU"/>
        </w:rPr>
        <w:t>(через Единую информационную систему)</w:t>
      </w:r>
    </w:p>
    <w:p>
      <w:pPr>
        <w:pStyle w:val="Style11"/>
        <w:keepNext w:val="0"/>
        <w:keepLines w:val="0"/>
        <w:widowControl w:val="0"/>
        <w:shd w:val="clear" w:color="auto" w:fill="auto"/>
        <w:bidi w:val="0"/>
        <w:spacing w:before="0" w:after="260" w:line="240" w:lineRule="auto"/>
        <w:ind w:left="5340" w:right="0" w:firstLine="0"/>
        <w:jc w:val="right"/>
      </w:pPr>
      <w:r>
        <w:rPr>
          <w:b/>
          <w:bCs/>
          <w:color w:val="000000"/>
          <w:spacing w:val="0"/>
          <w:w w:val="100"/>
          <w:position w:val="0"/>
          <w:shd w:val="clear" w:color="auto" w:fill="auto"/>
          <w:lang w:val="ru-RU" w:eastAsia="ru-RU" w:bidi="ru-RU"/>
        </w:rPr>
        <w:t xml:space="preserve">Управление финансов администрации муниципального района «Прилузский» </w:t>
      </w:r>
      <w:r>
        <w:rPr>
          <w:color w:val="000000"/>
          <w:spacing w:val="0"/>
          <w:w w:val="100"/>
          <w:position w:val="0"/>
          <w:shd w:val="clear" w:color="auto" w:fill="auto"/>
          <w:lang w:val="ru-RU" w:eastAsia="ru-RU" w:bidi="ru-RU"/>
        </w:rPr>
        <w:t>(через Единую информационную систему)</w:t>
      </w:r>
    </w:p>
    <w:p>
      <w:pPr>
        <w:pStyle w:val="Style11"/>
        <w:keepNext w:val="0"/>
        <w:keepLines w:val="0"/>
        <w:widowControl w:val="0"/>
        <w:shd w:val="clear" w:color="auto" w:fill="auto"/>
        <w:bidi w:val="0"/>
        <w:spacing w:before="0" w:after="620" w:line="240" w:lineRule="auto"/>
        <w:ind w:left="5340" w:right="0" w:firstLine="0"/>
        <w:jc w:val="right"/>
      </w:pPr>
      <w:r>
        <w:rPr>
          <w:b/>
          <w:bCs/>
          <w:color w:val="000000"/>
          <w:spacing w:val="0"/>
          <w:w w:val="100"/>
          <w:position w:val="0"/>
          <w:shd w:val="clear" w:color="auto" w:fill="auto"/>
          <w:lang w:val="ru-RU" w:eastAsia="ru-RU" w:bidi="ru-RU"/>
        </w:rPr>
        <w:t xml:space="preserve">Общество с ограниченной ответственностью «РТС-тендер» </w:t>
      </w:r>
      <w:r>
        <w:rPr>
          <w:color w:val="000000"/>
          <w:spacing w:val="0"/>
          <w:w w:val="100"/>
          <w:position w:val="0"/>
          <w:shd w:val="clear" w:color="auto" w:fill="auto"/>
          <w:lang w:val="ru-RU" w:eastAsia="ru-RU" w:bidi="ru-RU"/>
        </w:rPr>
        <w:t>(через Единую информационную систему)</w:t>
      </w:r>
    </w:p>
    <w:p>
      <w:pPr>
        <w:pStyle w:val="Style11"/>
        <w:keepNext w:val="0"/>
        <w:keepLines w:val="0"/>
        <w:widowControl w:val="0"/>
        <w:shd w:val="clear" w:color="auto" w:fill="auto"/>
        <w:bidi w:val="0"/>
        <w:spacing w:before="0" w:after="0" w:line="240" w:lineRule="auto"/>
        <w:ind w:left="0" w:right="0" w:firstLine="0"/>
        <w:jc w:val="center"/>
        <w:rPr>
          <w:sz w:val="28"/>
          <w:szCs w:val="28"/>
        </w:rPr>
      </w:pPr>
      <w:r>
        <w:rPr>
          <w:b/>
          <w:bCs/>
          <w:color w:val="000000"/>
          <w:spacing w:val="0"/>
          <w:w w:val="100"/>
          <w:position w:val="0"/>
          <w:sz w:val="28"/>
          <w:szCs w:val="28"/>
          <w:shd w:val="clear" w:color="auto" w:fill="auto"/>
          <w:lang w:val="ru-RU" w:eastAsia="ru-RU" w:bidi="ru-RU"/>
        </w:rPr>
        <w:t>Р Е Ш Е Н И Е</w:t>
      </w:r>
    </w:p>
    <w:p>
      <w:pPr>
        <w:pStyle w:val="Style11"/>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(по жалобе № 011/06/31-927/2023)</w:t>
      </w:r>
    </w:p>
    <w:p>
      <w:pPr>
        <w:pStyle w:val="Style11"/>
        <w:keepNext w:val="0"/>
        <w:keepLines w:val="0"/>
        <w:widowControl w:val="0"/>
        <w:shd w:val="clear" w:color="auto" w:fill="auto"/>
        <w:bidi w:val="0"/>
        <w:spacing w:before="0" w:after="620" w:line="240" w:lineRule="auto"/>
        <w:ind w:left="0" w:right="0" w:firstLine="0"/>
        <w:jc w:val="left"/>
      </w:pPr>
      <w:r>
        <mc:AlternateContent>
          <mc:Choice Requires="wps">
            <w:drawing>
              <wp:anchor distT="0" distB="0" distL="114300" distR="114300" simplePos="0" relativeHeight="125829383" behindDoc="0" locked="0" layoutInCell="1" allowOverlap="1">
                <wp:simplePos x="0" y="0"/>
                <wp:positionH relativeFrom="page">
                  <wp:posOffset>6234430</wp:posOffset>
                </wp:positionH>
                <wp:positionV relativeFrom="paragraph">
                  <wp:posOffset>25400</wp:posOffset>
                </wp:positionV>
                <wp:extent cx="953770" cy="234950"/>
                <wp:wrapSquare wrapText="left"/>
                <wp:docPr id="7" name="Shape 7"/>
                <a:graphic xmlns:a="http://schemas.openxmlformats.org/drawingml/2006/main">
                  <a:graphicData uri="http://schemas.microsoft.com/office/word/2010/wordprocessingShape">
                    <wps:wsp>
                      <wps:cNvSpPr txBox="1"/>
                      <wps:spPr>
                        <a:xfrm>
                          <a:ext cx="953770" cy="23495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Сыктывкар</w:t>
                            </w:r>
                          </w:p>
                        </w:txbxContent>
                      </wps:txbx>
                      <wps:bodyPr wrap="none" lIns="0" tIns="0" rIns="0" bIns="0">
                        <a:noAutoFit/>
                      </wps:bodyPr>
                    </wps:wsp>
                  </a:graphicData>
                </a:graphic>
              </wp:anchor>
            </w:drawing>
          </mc:Choice>
          <mc:Fallback>
            <w:pict>
              <v:shape id="_x0000_s1033" type="#_x0000_t202" style="position:absolute;margin-left:490.90000000000003pt;margin-top:2.pt;width:75.100000000000009pt;height:18.5pt;z-index:-125829370;mso-wrap-distance-left:9.pt;mso-wrap-distance-right:9.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Сыктывкар</w:t>
                      </w:r>
                    </w:p>
                  </w:txbxContent>
                </v:textbox>
                <w10:wrap type="square" side="left" anchorx="page"/>
              </v:shape>
            </w:pict>
          </mc:Fallback>
        </mc:AlternateContent>
      </w:r>
      <w:r>
        <w:rPr>
          <w:color w:val="000000"/>
          <w:spacing w:val="0"/>
          <w:w w:val="100"/>
          <w:position w:val="0"/>
          <w:shd w:val="clear" w:color="auto" w:fill="auto"/>
          <w:lang w:val="ru-RU" w:eastAsia="ru-RU" w:bidi="ru-RU"/>
        </w:rPr>
        <w:t>07 ноября 2023 года</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Республике Коми по контролю в сфере закупок в составе: Дейберт О.И. - заместителя руководителя управления - начальника отдела контроля закупок, председателя Комиссии; Сандул Н.В. - ведущего специалиста-эксперта управления, члена Комиссии; Овериной А.В. - главного специалиста - эксперта управления, члена Комиссии (далее - Комиссия Коми УФАС России), рассмотрев жалобу индивидуального предпринимателя Тожибаева Захиджона Пазилжоновича (далее - индивидуальный предприниматель, заявитель) (вх. № 7541/23 от 30.10.2023) на действия заказчика - Управления строительства и жилищнокоммунального хозяйства администрации муниципального района «Прилузский» (далее - УСИЖКХ администрации МР «Прилузский») при осуществлении закупки путем проведения электронного аукциона «Выполнение работ по разработке проектной документации «Ликвидация несанкционированных свалок на территории сельских поселений «Ношуль» (д. Лихачевская, м. Косьволок), «Лойма» (пст. Коржинский), «Прокопьевка» (с. Прокопьевка) и рекультивация земельных участков, находящихся под ними», извещение № 0107300018923000114,</w:t>
      </w:r>
    </w:p>
    <w:p>
      <w:pPr>
        <w:pStyle w:val="Style11"/>
        <w:keepNext w:val="0"/>
        <w:keepLines w:val="0"/>
        <w:widowControl w:val="0"/>
        <w:shd w:val="clear" w:color="auto" w:fill="auto"/>
        <w:bidi w:val="0"/>
        <w:spacing w:before="0" w:after="34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20"/>
        <w:keepNext/>
        <w:keepLines/>
        <w:widowControl w:val="0"/>
        <w:shd w:val="clear" w:color="auto" w:fill="auto"/>
        <w:bidi w:val="0"/>
        <w:spacing w:before="0" w:line="240" w:lineRule="auto"/>
        <w:ind w:left="0" w:right="0" w:firstLine="0"/>
        <w:jc w:val="both"/>
        <w:sectPr>
          <w:footerReference w:type="default" r:id="rId7"/>
          <w:footnotePr>
            <w:pos w:val="pageBottom"/>
            <w:numFmt w:val="decimal"/>
            <w:numRestart w:val="continuous"/>
          </w:footnotePr>
          <w:pgSz w:w="11900" w:h="16840"/>
          <w:pgMar w:top="462" w:right="541" w:bottom="555" w:left="1097" w:header="34" w:footer="3" w:gutter="0"/>
          <w:pgNumType w:start="1"/>
          <w:cols w:space="720"/>
          <w:noEndnote/>
          <w:rtlGutter w:val="0"/>
          <w:docGrid w:linePitch="360"/>
        </w:sectPr>
      </w:pPr>
      <w:bookmarkStart w:id="2" w:name="bookmark2"/>
      <w:r>
        <w:rPr>
          <w:color w:val="000000"/>
          <w:spacing w:val="0"/>
          <w:w w:val="100"/>
          <w:position w:val="0"/>
          <w:shd w:val="clear" w:color="auto" w:fill="auto"/>
          <w:lang w:val="ru-RU" w:eastAsia="ru-RU" w:bidi="ru-RU"/>
        </w:rPr>
        <w:t>||||||||||||||||||||||||</w:t>
      </w:r>
      <w:bookmarkEnd w:id="2"/>
    </w:p>
    <w:p>
      <w:pPr>
        <w:pStyle w:val="Style11"/>
        <w:keepNext w:val="0"/>
        <w:keepLines w:val="0"/>
        <w:widowControl w:val="0"/>
        <w:shd w:val="clear" w:color="auto" w:fill="auto"/>
        <w:bidi w:val="0"/>
        <w:spacing w:before="0" w:after="0" w:line="240" w:lineRule="auto"/>
        <w:ind w:left="160" w:right="0" w:firstLine="720"/>
        <w:jc w:val="both"/>
      </w:pPr>
      <w:r>
        <w:rPr>
          <w:color w:val="000000"/>
          <w:spacing w:val="0"/>
          <w:w w:val="100"/>
          <w:position w:val="0"/>
          <w:shd w:val="clear" w:color="auto" w:fill="auto"/>
          <w:lang w:val="ru-RU" w:eastAsia="ru-RU" w:bidi="ru-RU"/>
        </w:rPr>
        <w:t>В Управление Федеральной антимонопольной службы по Республике Коми с использованием Единой информационной системы в сфере закупок 30.10.2023 индивидуальным предпринимателем направлена жалоба (вх. № 7541/23 от 30.10.2023) на действия заказчика - УСИЖКХ администрации МР «Прилузский» при осуществлении закупки путем проведения электронного аукциона «Выполнение работ по разработке проектной документации «Ликвидация несанкционированных свалок на территории сельских поселений «Ношуль» (д. Лихачевская, м. Косьволок), «Лойма» (пст. Коржинский), «Прокопьевка» (с. Прокопьевка) и рекультивация земельных участков, находящихся под ними», извещение № 0107300018923000114 (далее - жалоба).</w:t>
      </w:r>
    </w:p>
    <w:p>
      <w:pPr>
        <w:pStyle w:val="Style11"/>
        <w:keepNext w:val="0"/>
        <w:keepLines w:val="0"/>
        <w:widowControl w:val="0"/>
        <w:shd w:val="clear" w:color="auto" w:fill="auto"/>
        <w:bidi w:val="0"/>
        <w:spacing w:before="0" w:after="0" w:line="240" w:lineRule="auto"/>
        <w:ind w:left="160" w:right="0" w:firstLine="720"/>
        <w:jc w:val="both"/>
      </w:pPr>
      <w:r>
        <w:rPr>
          <w:color w:val="000000"/>
          <w:spacing w:val="0"/>
          <w:w w:val="100"/>
          <w:position w:val="0"/>
          <w:shd w:val="clear" w:color="auto" w:fill="auto"/>
          <w:lang w:val="ru-RU" w:eastAsia="ru-RU" w:bidi="ru-RU"/>
        </w:rPr>
        <w:t>Жалоба подготовлена в соответствии с требованиями статьи 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подана в срок, установленный пунктом 1 части 2 статьи 105 Закона о контрактной системе, в связи с чем, жалоба принята Коми УФАС России к рассмотрению.</w:t>
      </w:r>
    </w:p>
    <w:p>
      <w:pPr>
        <w:pStyle w:val="Style11"/>
        <w:keepNext w:val="0"/>
        <w:keepLines w:val="0"/>
        <w:widowControl w:val="0"/>
        <w:shd w:val="clear" w:color="auto" w:fill="auto"/>
        <w:bidi w:val="0"/>
        <w:spacing w:before="0" w:after="0" w:line="240" w:lineRule="auto"/>
        <w:ind w:left="160" w:right="0" w:firstLine="720"/>
        <w:jc w:val="both"/>
      </w:pPr>
      <w:r>
        <w:rPr>
          <w:color w:val="000000"/>
          <w:spacing w:val="0"/>
          <w:w w:val="100"/>
          <w:position w:val="0"/>
          <w:shd w:val="clear" w:color="auto" w:fill="auto"/>
          <w:lang w:val="ru-RU" w:eastAsia="ru-RU" w:bidi="ru-RU"/>
        </w:rPr>
        <w:t>Индивидуальный предприниматель, УСИЖКХ администрации МР «Прилузский», Управление финансов администрации МР «Прилузский», ООО «РТС-тендер» (далее - оператор электронной площадки) о времени, дате, месте рассмотрения жалобы надлежащим образом извещены.</w:t>
      </w:r>
    </w:p>
    <w:p>
      <w:pPr>
        <w:pStyle w:val="Style11"/>
        <w:keepNext w:val="0"/>
        <w:keepLines w:val="0"/>
        <w:widowControl w:val="0"/>
        <w:shd w:val="clear" w:color="auto" w:fill="auto"/>
        <w:bidi w:val="0"/>
        <w:spacing w:before="0" w:after="0" w:line="240" w:lineRule="auto"/>
        <w:ind w:left="160" w:right="0" w:firstLine="720"/>
        <w:jc w:val="both"/>
      </w:pPr>
      <w:r>
        <w:rPr>
          <w:color w:val="000000"/>
          <w:spacing w:val="0"/>
          <w:w w:val="100"/>
          <w:position w:val="0"/>
          <w:shd w:val="clear" w:color="auto" w:fill="auto"/>
          <w:lang w:val="ru-RU" w:eastAsia="ru-RU" w:bidi="ru-RU"/>
        </w:rPr>
        <w:t>УСИЖКХ администрации МР «Прилузский», Управлением финансов администрации МР «Прилузский» в письмах от 07.11.2023 № 294, от 07.11.2023 № 01- 19/254 заявлены ходатайства о рассмотрении жалобы в отсутствие представителей управлений.</w:t>
      </w:r>
    </w:p>
    <w:p>
      <w:pPr>
        <w:pStyle w:val="Style11"/>
        <w:keepNext w:val="0"/>
        <w:keepLines w:val="0"/>
        <w:widowControl w:val="0"/>
        <w:shd w:val="clear" w:color="auto" w:fill="auto"/>
        <w:bidi w:val="0"/>
        <w:spacing w:before="0" w:after="0" w:line="240" w:lineRule="auto"/>
        <w:ind w:left="160" w:right="0" w:firstLine="720"/>
        <w:jc w:val="both"/>
      </w:pPr>
      <w:r>
        <w:rPr>
          <w:color w:val="000000"/>
          <w:spacing w:val="0"/>
          <w:w w:val="100"/>
          <w:position w:val="0"/>
          <w:shd w:val="clear" w:color="auto" w:fill="auto"/>
          <w:lang w:val="ru-RU" w:eastAsia="ru-RU" w:bidi="ru-RU"/>
        </w:rPr>
        <w:t>С учетом законодательно установленных сроков рассмотрения жалобы отсутствие представителей сторон не препятствует рассмотрению жалобы и проведению внеплановой проверки.</w:t>
      </w:r>
    </w:p>
    <w:p>
      <w:pPr>
        <w:pStyle w:val="Style11"/>
        <w:keepNext w:val="0"/>
        <w:keepLines w:val="0"/>
        <w:widowControl w:val="0"/>
        <w:numPr>
          <w:ilvl w:val="0"/>
          <w:numId w:val="1"/>
        </w:numPr>
        <w:shd w:val="clear" w:color="auto" w:fill="auto"/>
        <w:tabs>
          <w:tab w:pos="1312" w:val="left"/>
        </w:tabs>
        <w:bidi w:val="0"/>
        <w:spacing w:before="0" w:after="0" w:line="240" w:lineRule="auto"/>
        <w:ind w:left="160" w:right="0" w:firstLine="720"/>
        <w:jc w:val="both"/>
      </w:pPr>
      <w:r>
        <w:rPr>
          <w:color w:val="000000"/>
          <w:spacing w:val="0"/>
          <w:w w:val="100"/>
          <w:position w:val="0"/>
          <w:shd w:val="clear" w:color="auto" w:fill="auto"/>
          <w:lang w:val="ru-RU" w:eastAsia="ru-RU" w:bidi="ru-RU"/>
        </w:rPr>
        <w:t>Индивидуальный предприниматель обжалует действие заказчика в виде установления в извещении об осуществлении закупки требования, предъявляемого к участникам закупки в соответствии с пунктом 1 части 1, части 2 статьи 31 Закона о контрактной системе, и исчерпывающего перечня документов, подтверждающих соответствие участника закупки такому требованию.</w:t>
      </w:r>
    </w:p>
    <w:p>
      <w:pPr>
        <w:pStyle w:val="Style11"/>
        <w:keepNext w:val="0"/>
        <w:keepLines w:val="0"/>
        <w:widowControl w:val="0"/>
        <w:shd w:val="clear" w:color="auto" w:fill="auto"/>
        <w:bidi w:val="0"/>
        <w:spacing w:before="0" w:after="0" w:line="240" w:lineRule="auto"/>
        <w:ind w:left="160" w:right="0" w:firstLine="720"/>
        <w:jc w:val="both"/>
      </w:pPr>
      <w:r>
        <w:rPr>
          <w:color w:val="000000"/>
          <w:spacing w:val="0"/>
          <w:w w:val="100"/>
          <w:position w:val="0"/>
          <w:shd w:val="clear" w:color="auto" w:fill="auto"/>
          <w:lang w:val="ru-RU" w:eastAsia="ru-RU" w:bidi="ru-RU"/>
        </w:rPr>
        <w:t>Заявителем указано, что исходя из норм законодательства о градостроительной деятельности следует, что архитектурно-строительное проектирование осуществляется в отношении подготовки проектной документации применительно к объектам капитального строительства и их частям, строящимся, реконструируемым в границах принадлежащего застройщику или иному правообладателю земельного участка.</w:t>
      </w:r>
    </w:p>
    <w:p>
      <w:pPr>
        <w:pStyle w:val="Style11"/>
        <w:keepNext w:val="0"/>
        <w:keepLines w:val="0"/>
        <w:widowControl w:val="0"/>
        <w:shd w:val="clear" w:color="auto" w:fill="auto"/>
        <w:bidi w:val="0"/>
        <w:spacing w:before="0" w:after="0" w:line="240" w:lineRule="auto"/>
        <w:ind w:left="0" w:right="0" w:firstLine="880"/>
        <w:jc w:val="both"/>
      </w:pPr>
      <w:r>
        <w:rPr>
          <w:color w:val="000000"/>
          <w:spacing w:val="0"/>
          <w:w w:val="100"/>
          <w:position w:val="0"/>
          <w:shd w:val="clear" w:color="auto" w:fill="auto"/>
          <w:lang w:val="ru-RU" w:eastAsia="ru-RU" w:bidi="ru-RU"/>
        </w:rPr>
        <w:t>Отмечено, что в соответствии с тех. заданием предметом закупки является проведение работ по разработке проектной документации «Ликвидация несанкционированных свалок на территории сельских поселений «Ношуль» (д. Лихачевская, м. Косьволок), «Лойма» (пст. Коржинский), «Прокопьевка» (с. Прокопьевка) и рекультивация земельных участков, находящихся под ними.</w:t>
      </w:r>
    </w:p>
    <w:p>
      <w:pPr>
        <w:pStyle w:val="Style11"/>
        <w:keepNext w:val="0"/>
        <w:keepLines w:val="0"/>
        <w:widowControl w:val="0"/>
        <w:shd w:val="clear" w:color="auto" w:fill="auto"/>
        <w:bidi w:val="0"/>
        <w:spacing w:before="0" w:after="0" w:line="240" w:lineRule="auto"/>
        <w:ind w:left="0" w:right="0" w:firstLine="880"/>
        <w:jc w:val="both"/>
      </w:pPr>
      <w:r>
        <w:rPr>
          <w:color w:val="000000"/>
          <w:spacing w:val="0"/>
          <w:w w:val="100"/>
          <w:position w:val="0"/>
          <w:shd w:val="clear" w:color="auto" w:fill="auto"/>
          <w:lang w:val="ru-RU" w:eastAsia="ru-RU" w:bidi="ru-RU"/>
        </w:rPr>
        <w:t>В извещении установлено требование к участникам закупки в соответствии с пунктом 1 части 1 статьи 31 и части 2 статьи 31 Федерального закона № 44-ФЗ:</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w:t>
      </w:r>
      <w:r>
        <w:rPr>
          <w:i/>
          <w:iCs/>
          <w:color w:val="000000"/>
          <w:spacing w:val="0"/>
          <w:w w:val="100"/>
          <w:position w:val="0"/>
          <w:shd w:val="clear" w:color="auto" w:fill="auto"/>
          <w:lang w:val="ru-RU" w:eastAsia="ru-RU" w:bidi="ru-RU"/>
        </w:rPr>
        <w:t xml:space="preserve">В соответствии с требованиями ст. 48, 55.4, 55.8 и 55.16 Градостроительного кодекса РФ: - участник закупки должен быть членом саморегулируемой организации в области архитектурно-строительного проектирования, основанной на членстве лиц, осуществляющих подготовку проектной документации, имеющей компенсационный фонд обеспечения договорных обязательств; - участник закупки должен иметь право осуществлять подготовку проектной документации по договору подряда на подготовку </w:t>
      </w:r>
      <w:r>
        <w:rPr>
          <w:i/>
          <w:iCs/>
          <w:color w:val="000000"/>
          <w:spacing w:val="0"/>
          <w:w w:val="100"/>
          <w:position w:val="0"/>
          <w:shd w:val="clear" w:color="auto" w:fill="auto"/>
          <w:lang w:val="ru-RU" w:eastAsia="ru-RU" w:bidi="ru-RU"/>
        </w:rPr>
        <w:t>проектной документации, заключаемому с использованием конкурентных способов заключения договоров; - уровень ответственности члена саморегулируемой организации по обязательствам по договорам подряда на подготовку проектной документации, заключаемым с использованием конкурентных способов заключения договоров, должен соответствовать требованиям Градостроительного кодекса РФ по внесению взносов в компенсационный фонд возмещения вреда и компенсационный фонд обеспечения договорных обязательств.</w:t>
      </w:r>
      <w:r>
        <w:rPr>
          <w:color w:val="000000"/>
          <w:spacing w:val="0"/>
          <w:w w:val="100"/>
          <w:position w:val="0"/>
          <w:shd w:val="clear" w:color="auto" w:fill="auto"/>
          <w:lang w:val="ru-RU" w:eastAsia="ru-RU" w:bidi="ru-RU"/>
        </w:rPr>
        <w:t>».</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w:t>
      </w:r>
      <w:r>
        <w:rPr>
          <w:i/>
          <w:iCs/>
          <w:color w:val="000000"/>
          <w:spacing w:val="0"/>
          <w:w w:val="100"/>
          <w:position w:val="0"/>
          <w:shd w:val="clear" w:color="auto" w:fill="auto"/>
          <w:lang w:val="ru-RU" w:eastAsia="ru-RU" w:bidi="ru-RU"/>
        </w:rPr>
        <w:t>Наличие опыта исполнения участником закупки договора, предусматривающего выполнение работ по подготовке проектной документации и (или) выполнению инженерных изысканий в соответствии с законодательством о градостроительной деятельности. Цена выполненных работ по договору должна составлять не менее 20 процентов от начальной (максимальной) цены контракта, заключаемого по результатам определения поставщика (подрядчика, исполнителя). Информация и документы, подтверждающие соответствие участников закупки дополнительным требованиям: 1) исполненный договор; 2) акт выполненных работ, подтверждающий цену выполненных работ; 3) положительное заключение экспертизы проектной документации и (или) результатов инженерных изысканий (за исключением случаев, при которых такое заключение не выдается в соответствии с законодательством о градостроительной деятельности)</w:t>
      </w:r>
      <w:r>
        <w:rPr>
          <w:color w:val="000000"/>
          <w:spacing w:val="0"/>
          <w:w w:val="100"/>
          <w:position w:val="0"/>
          <w:shd w:val="clear" w:color="auto" w:fill="auto"/>
          <w:lang w:val="ru-RU" w:eastAsia="ru-RU" w:bidi="ru-RU"/>
        </w:rPr>
        <w:t>».</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Заявитель считает, что объект закупки не включает работы по выполнению подготовки проектной документации, предусмотренные ГрК РФ.</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Таким образом, по мнению заявителя, установление в Извещении об осуществлении закупки указанных выше требований к участникам закупки нарушает положения части 6 статьи 31, пункта 12 части 1 статьи 42 Закона о контрактной системе.</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Просит признать жалобу обоснованной, обязать заказчика привести документацию о закупке в соответствие с законодательством.</w:t>
      </w:r>
    </w:p>
    <w:p>
      <w:pPr>
        <w:pStyle w:val="Style11"/>
        <w:keepNext w:val="0"/>
        <w:keepLines w:val="0"/>
        <w:widowControl w:val="0"/>
        <w:shd w:val="clear" w:color="auto" w:fill="auto"/>
        <w:bidi w:val="0"/>
        <w:spacing w:before="0" w:after="0" w:line="240" w:lineRule="auto"/>
        <w:ind w:left="160" w:right="0" w:firstLine="720"/>
        <w:jc w:val="both"/>
      </w:pPr>
      <w:r>
        <w:rPr>
          <w:color w:val="000000"/>
          <w:spacing w:val="0"/>
          <w:w w:val="100"/>
          <w:position w:val="0"/>
          <w:shd w:val="clear" w:color="auto" w:fill="auto"/>
          <w:lang w:val="ru-RU" w:eastAsia="ru-RU" w:bidi="ru-RU"/>
        </w:rPr>
        <w:t>УСИЖКХ администрации МР «Прилузский» в отзыве от 07.11.2023 № 294 (вх. № 7821-эп/23 от 07.11.2023) на жалобу индивидуального предпринимателя заявлены возражения относительно позиции заявителя.</w:t>
      </w:r>
    </w:p>
    <w:p>
      <w:pPr>
        <w:pStyle w:val="Style11"/>
        <w:keepNext w:val="0"/>
        <w:keepLines w:val="0"/>
        <w:widowControl w:val="0"/>
        <w:shd w:val="clear" w:color="auto" w:fill="auto"/>
        <w:bidi w:val="0"/>
        <w:spacing w:before="0" w:after="0" w:line="240" w:lineRule="auto"/>
        <w:ind w:left="160" w:right="0" w:firstLine="720"/>
        <w:jc w:val="both"/>
      </w:pPr>
      <w:r>
        <w:rPr>
          <w:color w:val="000000"/>
          <w:spacing w:val="0"/>
          <w:w w:val="100"/>
          <w:position w:val="0"/>
          <w:shd w:val="clear" w:color="auto" w:fill="auto"/>
          <w:lang w:val="ru-RU" w:eastAsia="ru-RU" w:bidi="ru-RU"/>
        </w:rPr>
        <w:t>Комиссия Коми УФАС России в ходе проведения внеплановой проверки осуществления закупки в соответствии с пунктом 1 части 15 статьи 99 Закона о контрактной системе, изучив материалы жалобы, ознакомившись с извещением о проведении электронного аукциона, электронными документами, содержащимися при указанном извещении, письменными пояснениями УСИЖКХ администрации МР «Прилузский», Управления финансов администрации МР «Прилузский» пришла к нижеследующим выводам.</w:t>
      </w:r>
    </w:p>
    <w:p>
      <w:pPr>
        <w:pStyle w:val="Style11"/>
        <w:keepNext w:val="0"/>
        <w:keepLines w:val="0"/>
        <w:widowControl w:val="0"/>
        <w:numPr>
          <w:ilvl w:val="0"/>
          <w:numId w:val="1"/>
        </w:numPr>
        <w:shd w:val="clear" w:color="auto" w:fill="auto"/>
        <w:tabs>
          <w:tab w:pos="1312" w:val="left"/>
        </w:tabs>
        <w:bidi w:val="0"/>
        <w:spacing w:before="0" w:after="0" w:line="240" w:lineRule="auto"/>
        <w:ind w:left="160" w:right="0" w:firstLine="720"/>
        <w:jc w:val="both"/>
      </w:pPr>
      <w:r>
        <w:rPr>
          <w:color w:val="000000"/>
          <w:spacing w:val="0"/>
          <w:w w:val="100"/>
          <w:position w:val="0"/>
          <w:shd w:val="clear" w:color="auto" w:fill="auto"/>
          <w:lang w:val="ru-RU" w:eastAsia="ru-RU" w:bidi="ru-RU"/>
        </w:rPr>
        <w:t>20.10.2023 уполномоченным органом - Управлением финансов администрации МР «Прилузский», наделенным в соответствии с постановлением администрации МР «Прилузский» от 01.11.2018 № 961 «О порядке взаимодействия заказчиков и уполномоченного органа на определение поставщиков (подрядчиков, исполнителей) для обеспечения нужд заказчиков муниципального образования муниципального района «Прилузский» функциями по определению поставщиков (подрядчиков, исполнителей), на официальном сайте Единой информационной системы в сфере закупок - \у\у\у./акирк1.доули (далее - официальный сайт, ЕИС) размещено извещение о проведении электронного аукциона для закупки № 0107300018923000114 с содержащимися при нем электронными документами.</w:t>
      </w:r>
    </w:p>
    <w:p>
      <w:pPr>
        <w:pStyle w:val="Style11"/>
        <w:keepNext w:val="0"/>
        <w:keepLines w:val="0"/>
        <w:widowControl w:val="0"/>
        <w:shd w:val="clear" w:color="auto" w:fill="auto"/>
        <w:bidi w:val="0"/>
        <w:spacing w:before="0" w:after="0" w:line="240" w:lineRule="auto"/>
        <w:ind w:left="0" w:right="0" w:firstLine="880"/>
        <w:jc w:val="both"/>
      </w:pPr>
      <w:r>
        <w:rPr>
          <w:color w:val="000000"/>
          <w:spacing w:val="0"/>
          <w:w w:val="100"/>
          <w:position w:val="0"/>
          <w:shd w:val="clear" w:color="auto" w:fill="auto"/>
          <w:lang w:val="ru-RU" w:eastAsia="ru-RU" w:bidi="ru-RU"/>
        </w:rPr>
        <w:t>Заказчиком закупки явилось УСИЖКХ администрации МР «Прилузский».</w:t>
      </w:r>
    </w:p>
    <w:p>
      <w:pPr>
        <w:pStyle w:val="Style11"/>
        <w:keepNext w:val="0"/>
        <w:keepLines w:val="0"/>
        <w:widowControl w:val="0"/>
        <w:shd w:val="clear" w:color="auto" w:fill="auto"/>
        <w:bidi w:val="0"/>
        <w:spacing w:before="0" w:after="0" w:line="240" w:lineRule="auto"/>
        <w:ind w:left="160" w:right="0" w:firstLine="720"/>
        <w:jc w:val="both"/>
      </w:pPr>
      <w:r>
        <w:rPr>
          <w:color w:val="000000"/>
          <w:spacing w:val="0"/>
          <w:w w:val="100"/>
          <w:position w:val="0"/>
          <w:shd w:val="clear" w:color="auto" w:fill="auto"/>
          <w:lang w:val="ru-RU" w:eastAsia="ru-RU" w:bidi="ru-RU"/>
        </w:rPr>
        <w:t xml:space="preserve">Наименование объекта закупки - «Выполнение работ по разработке проектной документации «Ликвидация несанкционированных свалок на территории сельских </w:t>
      </w:r>
      <w:r>
        <w:rPr>
          <w:color w:val="000000"/>
          <w:spacing w:val="0"/>
          <w:w w:val="100"/>
          <w:position w:val="0"/>
          <w:shd w:val="clear" w:color="auto" w:fill="auto"/>
          <w:lang w:val="ru-RU" w:eastAsia="ru-RU" w:bidi="ru-RU"/>
        </w:rPr>
        <w:t>поселений «Ношуль» (д. Лихачевская, м. Косьволок), «Лойма» (пст. Коржинский), «Прокопьевка» (с. Прокопьевка) и рекультивация земельных участков, находящихся под ними».</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Начальная (максимальная) цена контракта составила 6 379 044,77 руб.</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Дата и время окончания срока подачи заявок - 30.10.2023 10:00.</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Дата проведения процедуры подачи предложений о цене контракта либо о сумме цен единиц товара, работы, услуги - 30.10.2023.</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Дата подведения итогов определения поставщика (подрядчика, исполнителя) - 31.10.2023.</w:t>
      </w:r>
    </w:p>
    <w:p>
      <w:pPr>
        <w:pStyle w:val="Style11"/>
        <w:keepNext w:val="0"/>
        <w:keepLines w:val="0"/>
        <w:widowControl w:val="0"/>
        <w:numPr>
          <w:ilvl w:val="0"/>
          <w:numId w:val="1"/>
        </w:numPr>
        <w:shd w:val="clear" w:color="auto" w:fill="auto"/>
        <w:tabs>
          <w:tab w:pos="115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 силу частей 1, 2 статьи 8 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 подрядчиком, исполнителем ).</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Одним из конкурентных способов определения поставщиков ( подрядчиков, исполнителей) является, согласно пункту 2 части 2 статьи 24 Закона о контрактной системе, в том числе аукцион (открытый аукцион в электронной форме (далее электронный аукцион).</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части 1 статьи 49 Закона о контрактной системе определено, что электронный аукцион начинается с размещения в единой информационной системе извещения об осуществлении закупки.</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пунктов 5,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ЕИС и размещает в ЕИС извещение об осуществлении закупки, содержащее в том числе описание объекта закупки, а также информацию о требованиях, предъявляемых к участникам закупки в соответствии с частями 2 и 2.1 (при наличии таких требований) статьи 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Закона о контрактной системе (при наличии такого требования).</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пунктом 1 части 1 статьи 31 Закона о контрактной системе при применении конкурентных способов, заказчик устанавливает единые требования к участникам закупки, в том числе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части 2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участникам отдельных видов зак</w:t>
      </w:r>
      <w:r>
        <w:rPr>
          <w:color w:val="111111"/>
          <w:spacing w:val="0"/>
          <w:w w:val="100"/>
          <w:position w:val="0"/>
          <w:shd w:val="clear" w:color="auto" w:fill="auto"/>
          <w:lang w:val="ru-RU" w:eastAsia="ru-RU" w:bidi="ru-RU"/>
        </w:rPr>
        <w:t xml:space="preserve">упок дополнительные требования, </w:t>
      </w:r>
      <w:r>
        <w:rPr>
          <w:color w:val="000000"/>
          <w:spacing w:val="0"/>
          <w:w w:val="100"/>
          <w:position w:val="0"/>
          <w:shd w:val="clear" w:color="auto" w:fill="auto"/>
          <w:lang w:val="ru-RU" w:eastAsia="ru-RU" w:bidi="ru-RU"/>
        </w:rPr>
        <w:t>в том числе к наличию:</w:t>
      </w:r>
    </w:p>
    <w:p>
      <w:pPr>
        <w:pStyle w:val="Style11"/>
        <w:keepNext w:val="0"/>
        <w:keepLines w:val="0"/>
        <w:widowControl w:val="0"/>
        <w:numPr>
          <w:ilvl w:val="0"/>
          <w:numId w:val="3"/>
        </w:numPr>
        <w:shd w:val="clear" w:color="auto" w:fill="auto"/>
        <w:tabs>
          <w:tab w:pos="109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финансовых ресурсов для исполнения контракта;</w:t>
      </w:r>
    </w:p>
    <w:p>
      <w:pPr>
        <w:pStyle w:val="Style11"/>
        <w:keepNext w:val="0"/>
        <w:keepLines w:val="0"/>
        <w:widowControl w:val="0"/>
        <w:numPr>
          <w:ilvl w:val="0"/>
          <w:numId w:val="3"/>
        </w:numPr>
        <w:shd w:val="clear" w:color="auto" w:fill="auto"/>
        <w:tabs>
          <w:tab w:pos="110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на праве собственности или ином законном основании оборудования и других материальных ресурсов для исполнения контракта;</w:t>
      </w:r>
    </w:p>
    <w:p>
      <w:pPr>
        <w:pStyle w:val="Style11"/>
        <w:keepNext w:val="0"/>
        <w:keepLines w:val="0"/>
        <w:widowControl w:val="0"/>
        <w:numPr>
          <w:ilvl w:val="0"/>
          <w:numId w:val="3"/>
        </w:numPr>
        <w:shd w:val="clear" w:color="auto" w:fill="auto"/>
        <w:tabs>
          <w:tab w:pos="111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опыта работы, связанного с предметом контракта, и деловой репутации;</w:t>
      </w:r>
    </w:p>
    <w:p>
      <w:pPr>
        <w:pStyle w:val="Style11"/>
        <w:keepNext w:val="0"/>
        <w:keepLines w:val="0"/>
        <w:widowControl w:val="0"/>
        <w:numPr>
          <w:ilvl w:val="0"/>
          <w:numId w:val="3"/>
        </w:numPr>
        <w:shd w:val="clear" w:color="auto" w:fill="auto"/>
        <w:tabs>
          <w:tab w:pos="110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необходимого количества специалистов и иных работников определенного уровня квалификации для исполнения контракта.</w:t>
      </w:r>
    </w:p>
    <w:p>
      <w:pPr>
        <w:pStyle w:val="Style11"/>
        <w:keepNext w:val="0"/>
        <w:keepLines w:val="0"/>
        <w:widowControl w:val="0"/>
        <w:shd w:val="clear" w:color="auto" w:fill="auto"/>
        <w:bidi w:val="0"/>
        <w:spacing w:before="0" w:after="0" w:line="240" w:lineRule="auto"/>
        <w:ind w:left="0" w:right="0" w:firstLine="720"/>
        <w:jc w:val="both"/>
      </w:pPr>
      <w:r>
        <w:rPr>
          <w:color w:val="111111"/>
          <w:spacing w:val="0"/>
          <w:w w:val="100"/>
          <w:position w:val="0"/>
          <w:shd w:val="clear" w:color="auto" w:fill="auto"/>
          <w:lang w:val="ru-RU" w:eastAsia="ru-RU" w:bidi="ru-RU"/>
        </w:rPr>
        <w:t>В соответствии с частью 4 статьи 31 Закона о контрактной системе, в случае установления Правительством Российской Федерации в соответствии с частью 2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11"/>
        <w:keepNext w:val="0"/>
        <w:keepLines w:val="0"/>
        <w:widowControl w:val="0"/>
        <w:shd w:val="clear" w:color="auto" w:fill="auto"/>
        <w:bidi w:val="0"/>
        <w:spacing w:before="0" w:after="0" w:line="240" w:lineRule="auto"/>
        <w:ind w:left="0" w:right="0" w:firstLine="720"/>
        <w:jc w:val="both"/>
      </w:pPr>
      <w:r>
        <w:rPr>
          <w:color w:val="111111"/>
          <w:spacing w:val="0"/>
          <w:w w:val="100"/>
          <w:position w:val="0"/>
          <w:shd w:val="clear" w:color="auto" w:fill="auto"/>
          <w:lang w:val="ru-RU" w:eastAsia="ru-RU" w:bidi="ru-RU"/>
        </w:rPr>
        <w:t>При этом в силу части 6 статьи 31 Закона о контрактной системе, Заказчики не вправе устанавливать требования к участникам закупок в нарушение требований настоящего Федерального закона.</w:t>
      </w:r>
    </w:p>
    <w:p>
      <w:pPr>
        <w:pStyle w:val="Style11"/>
        <w:keepNext w:val="0"/>
        <w:keepLines w:val="0"/>
        <w:widowControl w:val="0"/>
        <w:shd w:val="clear" w:color="auto" w:fill="auto"/>
        <w:bidi w:val="0"/>
        <w:spacing w:before="0" w:after="0" w:line="240" w:lineRule="auto"/>
        <w:ind w:left="0" w:right="0" w:firstLine="720"/>
        <w:jc w:val="both"/>
      </w:pPr>
      <w:r>
        <w:rPr>
          <w:color w:val="111111"/>
          <w:spacing w:val="0"/>
          <w:w w:val="100"/>
          <w:position w:val="0"/>
          <w:shd w:val="clear" w:color="auto" w:fill="auto"/>
          <w:lang w:val="ru-RU" w:eastAsia="ru-RU" w:bidi="ru-RU"/>
        </w:rPr>
        <w:t>Дополнительные требования к участникам закупки отдельных видов товаров, работ, услуг установлены Постановлением Правительства Российской Федерации от 29 декабря 2021 г. № 2571 (далее - Постановление Правительства № 2571).</w:t>
      </w:r>
    </w:p>
    <w:p>
      <w:pPr>
        <w:pStyle w:val="Style11"/>
        <w:keepNext w:val="0"/>
        <w:keepLines w:val="0"/>
        <w:widowControl w:val="0"/>
        <w:shd w:val="clear" w:color="auto" w:fill="auto"/>
        <w:bidi w:val="0"/>
        <w:spacing w:before="0" w:after="0" w:line="240" w:lineRule="auto"/>
        <w:ind w:left="0" w:right="0" w:firstLine="720"/>
        <w:jc w:val="both"/>
      </w:pPr>
      <w:r>
        <w:rPr>
          <w:color w:val="111111"/>
          <w:spacing w:val="0"/>
          <w:w w:val="100"/>
          <w:position w:val="0"/>
          <w:shd w:val="clear" w:color="auto" w:fill="auto"/>
          <w:lang w:val="ru-RU" w:eastAsia="ru-RU" w:bidi="ru-RU"/>
        </w:rPr>
        <w:t>Соответствие участников закупки указанным требованиям подтверждается документами, предусмотренными приложением к Постановлению Правительства № 2571.</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 содержания извещения о проведении закупки следует, что к участникам закупки Заказчиком установлены следующие требования:</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w:t>
      </w:r>
      <w:r>
        <w:rPr>
          <w:i/>
          <w:iCs/>
          <w:color w:val="000000"/>
          <w:spacing w:val="0"/>
          <w:w w:val="100"/>
          <w:position w:val="0"/>
          <w:shd w:val="clear" w:color="auto" w:fill="auto"/>
          <w:lang w:val="ru-RU" w:eastAsia="ru-RU" w:bidi="ru-RU"/>
        </w:rPr>
        <w:t>Требование к участникам закупок в соответствии с пунктом 1 части 1 статьи 31 Закона о контрактной системе.</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требованиями ст. 48, 55.4, 55.8 и 55.16 Градостроительного кодекса РФ:</w:t>
      </w:r>
    </w:p>
    <w:p>
      <w:pPr>
        <w:pStyle w:val="Style11"/>
        <w:keepNext w:val="0"/>
        <w:keepLines w:val="0"/>
        <w:widowControl w:val="0"/>
        <w:numPr>
          <w:ilvl w:val="0"/>
          <w:numId w:val="5"/>
        </w:numPr>
        <w:shd w:val="clear" w:color="auto" w:fill="auto"/>
        <w:tabs>
          <w:tab w:pos="97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участник закупки должен быть членом саморегулируемой организации в области архитектурно-строительного проектирования, основанной на членстве лиц, осуществляющих подготовку проектной документации, имеющей компенсационный фонд обеспечения договорных обязательств;</w:t>
      </w:r>
    </w:p>
    <w:p>
      <w:pPr>
        <w:pStyle w:val="Style11"/>
        <w:keepNext w:val="0"/>
        <w:keepLines w:val="0"/>
        <w:widowControl w:val="0"/>
        <w:numPr>
          <w:ilvl w:val="0"/>
          <w:numId w:val="5"/>
        </w:numPr>
        <w:shd w:val="clear" w:color="auto" w:fill="auto"/>
        <w:tabs>
          <w:tab w:pos="98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участник закупки должен иметь право осуществлять подготовку проектной документации по договору подряда на подготовку проектной документации, заключаемому с использованием конкурентных способов заключения договоров;</w:t>
      </w:r>
    </w:p>
    <w:p>
      <w:pPr>
        <w:pStyle w:val="Style11"/>
        <w:keepNext w:val="0"/>
        <w:keepLines w:val="0"/>
        <w:widowControl w:val="0"/>
        <w:numPr>
          <w:ilvl w:val="0"/>
          <w:numId w:val="5"/>
        </w:numPr>
        <w:shd w:val="clear" w:color="auto" w:fill="auto"/>
        <w:tabs>
          <w:tab w:pos="98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уровень ответственности члена саморегулируемой организации по обязательствам по договорам подряда на подготовку проектной документации, заключаемым с использованием конкурентных способов заключения договоров, должен соответствовать требованиям Градостроительного кодекса РФ по внесению взносов в компенсационный фонд возмещения вреда и компенсационный фонд обеспечения договорных обязательств.</w:t>
      </w:r>
    </w:p>
    <w:p>
      <w:pPr>
        <w:pStyle w:val="Style11"/>
        <w:keepNext w:val="0"/>
        <w:keepLines w:val="0"/>
        <w:widowControl w:val="0"/>
        <w:shd w:val="clear" w:color="auto" w:fill="auto"/>
        <w:bidi w:val="0"/>
        <w:spacing w:before="0" w:after="0" w:line="240" w:lineRule="auto"/>
        <w:ind w:left="0" w:right="0" w:firstLine="860"/>
        <w:jc w:val="both"/>
      </w:pPr>
      <w:r>
        <w:rPr>
          <w:i/>
          <w:iCs/>
          <w:color w:val="000000"/>
          <w:spacing w:val="0"/>
          <w:w w:val="100"/>
          <w:position w:val="0"/>
          <w:shd w:val="clear" w:color="auto" w:fill="auto"/>
          <w:lang w:val="ru-RU" w:eastAsia="ru-RU" w:bidi="ru-RU"/>
        </w:rPr>
        <w:t>Требования к участникам закупок в соответствии с частью 2 статьи 31 Закона о контрактной системе.</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Требования в соответствии с позицией 6 раздела II приложения к ПП РФ от 29.12.2021 № 2571:</w:t>
      </w:r>
    </w:p>
    <w:p>
      <w:pPr>
        <w:pStyle w:val="Style11"/>
        <w:keepNext w:val="0"/>
        <w:keepLines w:val="0"/>
        <w:widowControl w:val="0"/>
        <w:numPr>
          <w:ilvl w:val="0"/>
          <w:numId w:val="5"/>
        </w:numPr>
        <w:shd w:val="clear" w:color="auto" w:fill="auto"/>
        <w:tabs>
          <w:tab w:pos="978" w:val="left"/>
        </w:tabs>
        <w:bidi w:val="0"/>
        <w:spacing w:before="0" w:after="0" w:line="240" w:lineRule="auto"/>
        <w:ind w:left="0" w:right="0" w:firstLine="720"/>
        <w:jc w:val="both"/>
        <w:sectPr>
          <w:headerReference w:type="default" r:id="rId8"/>
          <w:footerReference w:type="default" r:id="rId9"/>
          <w:footnotePr>
            <w:pos w:val="pageBottom"/>
            <w:numFmt w:val="decimal"/>
            <w:numRestart w:val="continuous"/>
          </w:footnotePr>
          <w:pgSz w:w="11900" w:h="16840"/>
          <w:pgMar w:top="1143" w:right="498" w:bottom="1258" w:left="990" w:header="0" w:footer="3" w:gutter="0"/>
          <w:cols w:space="720"/>
          <w:noEndnote/>
          <w:rtlGutter w:val="0"/>
          <w:docGrid w:linePitch="360"/>
        </w:sectPr>
      </w:pPr>
      <w:r>
        <w:rPr>
          <w:color w:val="000000"/>
          <w:spacing w:val="0"/>
          <w:w w:val="100"/>
          <w:position w:val="0"/>
          <w:shd w:val="clear" w:color="auto" w:fill="auto"/>
          <w:lang w:val="ru-RU" w:eastAsia="ru-RU" w:bidi="ru-RU"/>
        </w:rPr>
        <w:t>наличие опыта исполнения участником закупки договора, предусматривающего выполнение работ по подготовке проектной документации и (или) выполнению инженерных изысканий в соответствии с законодательством о градостроительной деятельности. Цена выполненных работ по договору должна составлять не менее 20 процентов от начальной (максимальной) цены контракта, заключаемого по результатам определения поставщика (подрядчика, исполнителя).</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Информация и документы, подтверждающие соответствие участников закупки дополнительным требованиям: 1) исполненный договор; 2) акт выполненных работ, подтверждающий цену выполненных работ; 3) положительное заключение экспертизы проектной документации и (или) результатов инженерных изысканий (за исключением случаев, при которых такое заключение не выдается в соответствии с законодательством о градостроительной деятельности)».</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1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части 2 статьи 33 Закона о контрактной системе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Техническим заданиям на выполнение работ по разработке проектной документации «Ликвидация несанкционированной свалки на территории сельского поселения «Лойма» (пст. Коржинский) и рекультивация земельного участка, находящегося под ней», «Ликвидация несанкционированной свалки на территории сельского поселения «Ношуль» (Лихачевская, Косьволок) и рекультивация земельного участка, находящегося под ней», «Ликвидация несанкционированной свалки на территории сельского поселения «Прокопьевка» (с. Прокопьевка) и рекультивация земельного участка, находящегося под ней» целью данной закупки является рекультивация свалок (ликвидация накопленного вреда окружающей среде), приведение земельных участков в состояние, пригодное для дальнейшего использования.</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Исходя из Описания объекта закупки следует, что Подрядчику в целях разработки проектной документации надлежит выполнить изыскания в объеме, необходимом для разработки материалов по оценке воздействия на окружающую среду, проектной документации и строительства по рекультивации свалки, ликвидации объекта накопленного вреда окружающей среде, и получения положительных заключений государственной экологической экспертизы и государственной экспертизы проектной документации и результатов инженерных изысканий:</w:t>
      </w:r>
    </w:p>
    <w:p>
      <w:pPr>
        <w:pStyle w:val="Style11"/>
        <w:keepNext w:val="0"/>
        <w:keepLines w:val="0"/>
        <w:widowControl w:val="0"/>
        <w:numPr>
          <w:ilvl w:val="0"/>
          <w:numId w:val="7"/>
        </w:numPr>
        <w:shd w:val="clear" w:color="auto" w:fill="auto"/>
        <w:tabs>
          <w:tab w:pos="692" w:val="left"/>
        </w:tabs>
        <w:bidi w:val="0"/>
        <w:spacing w:before="0" w:after="0" w:line="240" w:lineRule="auto"/>
        <w:ind w:left="0" w:right="0" w:firstLine="480"/>
        <w:jc w:val="left"/>
      </w:pPr>
      <w:r>
        <w:rPr>
          <w:color w:val="000000"/>
          <w:spacing w:val="0"/>
          <w:w w:val="100"/>
          <w:position w:val="0"/>
          <w:shd w:val="clear" w:color="auto" w:fill="auto"/>
          <w:lang w:val="ru-RU" w:eastAsia="ru-RU" w:bidi="ru-RU"/>
        </w:rPr>
        <w:t>инженерно-геологические изыскания;</w:t>
      </w:r>
    </w:p>
    <w:p>
      <w:pPr>
        <w:pStyle w:val="Style11"/>
        <w:keepNext w:val="0"/>
        <w:keepLines w:val="0"/>
        <w:widowControl w:val="0"/>
        <w:numPr>
          <w:ilvl w:val="0"/>
          <w:numId w:val="7"/>
        </w:numPr>
        <w:shd w:val="clear" w:color="auto" w:fill="auto"/>
        <w:tabs>
          <w:tab w:pos="682" w:val="left"/>
        </w:tabs>
        <w:bidi w:val="0"/>
        <w:spacing w:before="0" w:after="0" w:line="240" w:lineRule="auto"/>
        <w:ind w:left="0" w:right="0" w:firstLine="480"/>
        <w:jc w:val="left"/>
      </w:pPr>
      <w:r>
        <w:rPr>
          <w:color w:val="000000"/>
          <w:spacing w:val="0"/>
          <w:w w:val="100"/>
          <w:position w:val="0"/>
          <w:shd w:val="clear" w:color="auto" w:fill="auto"/>
          <w:lang w:val="ru-RU" w:eastAsia="ru-RU" w:bidi="ru-RU"/>
        </w:rPr>
        <w:t>инженерно-геодезические изыскания;</w:t>
      </w:r>
    </w:p>
    <w:p>
      <w:pPr>
        <w:pStyle w:val="Style11"/>
        <w:keepNext w:val="0"/>
        <w:keepLines w:val="0"/>
        <w:widowControl w:val="0"/>
        <w:numPr>
          <w:ilvl w:val="0"/>
          <w:numId w:val="7"/>
        </w:numPr>
        <w:shd w:val="clear" w:color="auto" w:fill="auto"/>
        <w:tabs>
          <w:tab w:pos="682" w:val="left"/>
        </w:tabs>
        <w:bidi w:val="0"/>
        <w:spacing w:before="0" w:after="0" w:line="240" w:lineRule="auto"/>
        <w:ind w:left="0" w:right="0" w:firstLine="480"/>
        <w:jc w:val="left"/>
      </w:pPr>
      <w:r>
        <w:rPr>
          <w:color w:val="000000"/>
          <w:spacing w:val="0"/>
          <w:w w:val="100"/>
          <w:position w:val="0"/>
          <w:shd w:val="clear" w:color="auto" w:fill="auto"/>
          <w:lang w:val="ru-RU" w:eastAsia="ru-RU" w:bidi="ru-RU"/>
        </w:rPr>
        <w:t>инженерно-гидрометеорологические изыскания;</w:t>
      </w:r>
    </w:p>
    <w:p>
      <w:pPr>
        <w:pStyle w:val="Style11"/>
        <w:keepNext w:val="0"/>
        <w:keepLines w:val="0"/>
        <w:widowControl w:val="0"/>
        <w:numPr>
          <w:ilvl w:val="0"/>
          <w:numId w:val="7"/>
        </w:numPr>
        <w:shd w:val="clear" w:color="auto" w:fill="auto"/>
        <w:tabs>
          <w:tab w:pos="668" w:val="left"/>
        </w:tabs>
        <w:bidi w:val="0"/>
        <w:spacing w:before="0" w:after="0" w:line="240" w:lineRule="auto"/>
        <w:ind w:left="0" w:right="0" w:firstLine="480"/>
        <w:jc w:val="left"/>
        <w:rPr>
          <w:sz w:val="24"/>
          <w:szCs w:val="24"/>
        </w:rPr>
        <w:sectPr>
          <w:headerReference w:type="default" r:id="rId10"/>
          <w:footerReference w:type="default" r:id="rId11"/>
          <w:footnotePr>
            <w:pos w:val="pageBottom"/>
            <w:numFmt w:val="decimal"/>
            <w:numRestart w:val="continuous"/>
          </w:footnotePr>
          <w:pgSz w:w="11900" w:h="16840"/>
          <w:pgMar w:top="1143" w:right="536" w:bottom="817" w:left="1101" w:header="0" w:footer="389" w:gutter="0"/>
          <w:cols w:space="720"/>
          <w:noEndnote/>
          <w:rtlGutter w:val="0"/>
          <w:docGrid w:linePitch="360"/>
        </w:sectPr>
      </w:pPr>
      <w:r>
        <w:rPr>
          <w:color w:val="000000"/>
          <w:spacing w:val="0"/>
          <w:w w:val="100"/>
          <w:position w:val="0"/>
          <w:sz w:val="26"/>
          <w:szCs w:val="26"/>
          <w:shd w:val="clear" w:color="auto" w:fill="auto"/>
          <w:lang w:val="ru-RU" w:eastAsia="ru-RU" w:bidi="ru-RU"/>
        </w:rPr>
        <w:t xml:space="preserve">инженерно-экологические изыскания, также выполнить проектно-сметную документацию в объеме, соответствующем требованиям Положения о составе разделов проектной документации и требованиях к их содержанию, утвержденного постановлением Правительства Российской Федерации от 16.02.2008 № 87, требованиям постановления Правительства Российской Федерации от </w:t>
      </w:r>
      <w:r>
        <w:rPr>
          <w:color w:val="000000"/>
          <w:spacing w:val="0"/>
          <w:w w:val="100"/>
          <w:position w:val="0"/>
          <w:sz w:val="24"/>
          <w:szCs w:val="24"/>
          <w:shd w:val="clear" w:color="auto" w:fill="auto"/>
          <w:lang w:val="ru-RU" w:eastAsia="ru-RU" w:bidi="ru-RU"/>
        </w:rPr>
        <w:t>2023-4707</w:t>
      </w:r>
    </w:p>
    <w:p>
      <w:pPr>
        <w:pStyle w:val="Style11"/>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10.07.2018 № 800 «О проведении рекультивации и консервации земель», постановления Правительства Российской Федерации от 04.05.2018 № 542 «Об утверждении Правил организации работ по ликвидации накопленного вреда окружающей среде».</w:t>
      </w:r>
    </w:p>
    <w:p>
      <w:pPr>
        <w:pStyle w:val="Style11"/>
        <w:keepNext w:val="0"/>
        <w:keepLines w:val="0"/>
        <w:widowControl w:val="0"/>
        <w:shd w:val="clear" w:color="auto" w:fill="auto"/>
        <w:bidi w:val="0"/>
        <w:spacing w:before="0" w:after="0" w:line="240" w:lineRule="auto"/>
        <w:ind w:left="0" w:right="0" w:firstLine="760"/>
        <w:jc w:val="both"/>
      </w:pPr>
      <w:r>
        <w:rPr>
          <w:color w:val="111111"/>
          <w:spacing w:val="0"/>
          <w:w w:val="100"/>
          <w:position w:val="0"/>
          <w:shd w:val="clear" w:color="auto" w:fill="auto"/>
          <w:lang w:val="ru-RU" w:eastAsia="ru-RU" w:bidi="ru-RU"/>
        </w:rPr>
        <w:t>В силу части 1 статьи 4 Градостроительного кодекса Российской Федерации (далее - ГрК РФ) законодательство о градостроительной деятельности регулирует отношения по территориальному планированию, градостроительному зонированию, планировке территории, архитектурно-строительному проектированию, отношения по строительству объектов капитального строительства, их реконструкции, капитальному ремонту, сносу, а также по эксплуатации зданий, сооружений.</w:t>
      </w:r>
    </w:p>
    <w:p>
      <w:pPr>
        <w:pStyle w:val="Style11"/>
        <w:keepNext w:val="0"/>
        <w:keepLines w:val="0"/>
        <w:widowControl w:val="0"/>
        <w:shd w:val="clear" w:color="auto" w:fill="auto"/>
        <w:bidi w:val="0"/>
        <w:spacing w:before="0" w:after="0" w:line="240" w:lineRule="auto"/>
        <w:ind w:left="0" w:right="0" w:firstLine="660"/>
        <w:jc w:val="both"/>
      </w:pPr>
      <w:r>
        <w:rPr>
          <w:color w:val="111111"/>
          <w:spacing w:val="0"/>
          <w:w w:val="100"/>
          <w:position w:val="0"/>
          <w:shd w:val="clear" w:color="auto" w:fill="auto"/>
          <w:lang w:val="ru-RU" w:eastAsia="ru-RU" w:bidi="ru-RU"/>
        </w:rPr>
        <w:t>В соответствии с частью 1 статьи 47 ГрК РФ инженерные изыскания выполняются для подготовки проектной документации, строительства, реконструкции объектов капитального строительства. Подготовка проектной документации, а также строительство, реконструкция объектов капитального строительства в соответствии с такой проектной документацией не допускаются без выполнения соответствующих инженерных изысканий.</w:t>
      </w:r>
    </w:p>
    <w:p>
      <w:pPr>
        <w:pStyle w:val="Style11"/>
        <w:keepNext w:val="0"/>
        <w:keepLines w:val="0"/>
        <w:widowControl w:val="0"/>
        <w:shd w:val="clear" w:color="auto" w:fill="auto"/>
        <w:bidi w:val="0"/>
        <w:spacing w:before="0" w:after="0" w:line="240" w:lineRule="auto"/>
        <w:ind w:left="0" w:right="0" w:firstLine="560"/>
        <w:jc w:val="both"/>
      </w:pPr>
      <w:r>
        <w:rPr>
          <w:color w:val="111111"/>
          <w:spacing w:val="0"/>
          <w:w w:val="100"/>
          <w:position w:val="0"/>
          <w:shd w:val="clear" w:color="auto" w:fill="auto"/>
          <w:lang w:val="ru-RU" w:eastAsia="ru-RU" w:bidi="ru-RU"/>
        </w:rPr>
        <w:t>Согласно части 2 статьи 47 ГрК РФ работы по договорам о выполнении инженерных изысканий, заключенным с застройщиком, техническим заказчиком или лицом, получившим в соответствии с Земельным кодексом Российской Федерации разрешение на использование земель или земельного участка, находящегося в государственной или муниципальной собственности, для выполнения инженерных изысканий,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инженерных изысканий.</w:t>
      </w:r>
    </w:p>
    <w:p>
      <w:pPr>
        <w:pStyle w:val="Style11"/>
        <w:keepNext w:val="0"/>
        <w:keepLines w:val="0"/>
        <w:widowControl w:val="0"/>
        <w:shd w:val="clear" w:color="auto" w:fill="auto"/>
        <w:bidi w:val="0"/>
        <w:spacing w:before="0" w:after="0" w:line="240" w:lineRule="auto"/>
        <w:ind w:left="0" w:right="0" w:firstLine="760"/>
        <w:jc w:val="both"/>
      </w:pPr>
      <w:r>
        <w:rPr>
          <w:color w:val="111111"/>
          <w:spacing w:val="0"/>
          <w:w w:val="100"/>
          <w:position w:val="0"/>
          <w:shd w:val="clear" w:color="auto" w:fill="auto"/>
          <w:lang w:val="ru-RU" w:eastAsia="ru-RU" w:bidi="ru-RU"/>
        </w:rPr>
        <w:t>Частью 2 статьи 48 ГрК РФ предусмотрено, что проектная документация представляет собой документацию, содержащую материалы в текстовой форме и в виде карт (схем) и определяющую архитектурные, функционально-технологические, конструктивные и инженерно-технические решения для обеспечения строительства, реконструкции объектов капитального строительства, их частей, капитального ремонта.</w:t>
      </w:r>
    </w:p>
    <w:p>
      <w:pPr>
        <w:pStyle w:val="Style11"/>
        <w:keepNext w:val="0"/>
        <w:keepLines w:val="0"/>
        <w:widowControl w:val="0"/>
        <w:shd w:val="clear" w:color="auto" w:fill="auto"/>
        <w:bidi w:val="0"/>
        <w:spacing w:before="0" w:after="0" w:line="240" w:lineRule="auto"/>
        <w:ind w:left="0" w:right="0" w:firstLine="760"/>
        <w:jc w:val="both"/>
      </w:pPr>
      <w:r>
        <w:rPr>
          <w:color w:val="111111"/>
          <w:spacing w:val="0"/>
          <w:w w:val="100"/>
          <w:position w:val="0"/>
          <w:shd w:val="clear" w:color="auto" w:fill="auto"/>
          <w:lang w:val="ru-RU" w:eastAsia="ru-RU" w:bidi="ru-RU"/>
        </w:rPr>
        <w:t>В силу части 4 статьи 48 ГрК РФ работы по договорам о подготовке проектной документации, заключенным с застройщиком, техническим заказчиком, лицом, ответственным за эксплуатацию здания, сооружения, региональным оператором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архитектурно</w:t>
        <w:softHyphen/>
        <w:t>строительного проектирования, если иное не предусмотрено настоящей статьей.</w:t>
      </w:r>
    </w:p>
    <w:p>
      <w:pPr>
        <w:pStyle w:val="Style11"/>
        <w:keepNext w:val="0"/>
        <w:keepLines w:val="0"/>
        <w:widowControl w:val="0"/>
        <w:shd w:val="clear" w:color="auto" w:fill="auto"/>
        <w:bidi w:val="0"/>
        <w:spacing w:before="0" w:after="0" w:line="240" w:lineRule="auto"/>
        <w:ind w:left="0" w:right="0" w:firstLine="760"/>
        <w:jc w:val="both"/>
      </w:pPr>
      <w:r>
        <w:rPr>
          <w:color w:val="111111"/>
          <w:spacing w:val="0"/>
          <w:w w:val="100"/>
          <w:position w:val="0"/>
          <w:shd w:val="clear" w:color="auto" w:fill="auto"/>
          <w:lang w:val="ru-RU" w:eastAsia="ru-RU" w:bidi="ru-RU"/>
        </w:rPr>
        <w:t>Согласно части 5.2. статьи 48 ГрК РФ договором о подготовке проектной документации, заключенным застройщиком или техническим заказчиком с физическим или юридическим лицом, может быть предусмотрено задание на выполнение инженерных изысканий. В этом случае указанное физическое или юридическое лицо осуществляет также организацию и координацию работ по инженерным изысканиям и несет ответственность за достоверность, качество и полноту выполненных инженерных изысканий.</w:t>
      </w:r>
    </w:p>
    <w:p>
      <w:pPr>
        <w:pStyle w:val="Style11"/>
        <w:keepNext w:val="0"/>
        <w:keepLines w:val="0"/>
        <w:widowControl w:val="0"/>
        <w:shd w:val="clear" w:color="auto" w:fill="auto"/>
        <w:bidi w:val="0"/>
        <w:spacing w:before="0" w:after="0" w:line="240" w:lineRule="auto"/>
        <w:ind w:left="0" w:right="0" w:firstLine="760"/>
        <w:jc w:val="both"/>
      </w:pPr>
      <w:r>
        <w:rPr>
          <w:color w:val="111111"/>
          <w:spacing w:val="0"/>
          <w:w w:val="100"/>
          <w:position w:val="0"/>
          <w:shd w:val="clear" w:color="auto" w:fill="auto"/>
          <w:lang w:val="ru-RU" w:eastAsia="ru-RU" w:bidi="ru-RU"/>
        </w:rPr>
        <w:t>Таким образом, в соответствии с законодательством Российской Федерации (ч. 1 ст. 47 ГрК РФ) работы по проектированию и изыскательские работы представляют собой единый комплекс подрядных работ, неразрывно связанных между собой.</w:t>
      </w:r>
    </w:p>
    <w:p>
      <w:pPr>
        <w:pStyle w:val="Style11"/>
        <w:keepNext w:val="0"/>
        <w:keepLines w:val="0"/>
        <w:widowControl w:val="0"/>
        <w:shd w:val="clear" w:color="auto" w:fill="auto"/>
        <w:bidi w:val="0"/>
        <w:spacing w:before="0" w:after="0" w:line="240" w:lineRule="auto"/>
        <w:ind w:left="0" w:right="0" w:firstLine="760"/>
        <w:jc w:val="both"/>
      </w:pPr>
      <w:r>
        <w:rPr>
          <w:color w:val="111111"/>
          <w:spacing w:val="0"/>
          <w:w w:val="100"/>
          <w:position w:val="0"/>
          <w:shd w:val="clear" w:color="auto" w:fill="auto"/>
          <w:lang w:val="ru-RU" w:eastAsia="ru-RU" w:bidi="ru-RU"/>
        </w:rPr>
        <w:t xml:space="preserve">Статьей 55.3 </w:t>
      </w:r>
      <w:r>
        <w:rPr>
          <w:color w:val="000000"/>
          <w:spacing w:val="0"/>
          <w:w w:val="100"/>
          <w:position w:val="0"/>
          <w:shd w:val="clear" w:color="auto" w:fill="auto"/>
          <w:lang w:val="ru-RU" w:eastAsia="ru-RU" w:bidi="ru-RU"/>
        </w:rPr>
        <w:t>ГрК РФ определены следующие виды саморегулируемых организаций:</w:t>
      </w:r>
    </w:p>
    <w:p>
      <w:pPr>
        <w:pStyle w:val="Style11"/>
        <w:keepNext w:val="0"/>
        <w:keepLines w:val="0"/>
        <w:widowControl w:val="0"/>
        <w:numPr>
          <w:ilvl w:val="0"/>
          <w:numId w:val="9"/>
        </w:numPr>
        <w:shd w:val="clear" w:color="auto" w:fill="auto"/>
        <w:tabs>
          <w:tab w:pos="826" w:val="left"/>
        </w:tabs>
        <w:bidi w:val="0"/>
        <w:spacing w:before="0" w:after="0" w:line="240" w:lineRule="auto"/>
        <w:ind w:left="0" w:right="0" w:firstLine="560"/>
        <w:jc w:val="both"/>
      </w:pPr>
      <w:r>
        <w:rPr>
          <w:color w:val="000000"/>
          <w:spacing w:val="0"/>
          <w:w w:val="100"/>
          <w:position w:val="0"/>
          <w:shd w:val="clear" w:color="auto" w:fill="auto"/>
          <w:lang w:val="ru-RU" w:eastAsia="ru-RU" w:bidi="ru-RU"/>
        </w:rPr>
        <w:t>саморегулируемые организации, основанные на членстве лиц, выполняющих инженерные изыскания;</w:t>
      </w:r>
    </w:p>
    <w:p>
      <w:pPr>
        <w:pStyle w:val="Style11"/>
        <w:keepNext w:val="0"/>
        <w:keepLines w:val="0"/>
        <w:widowControl w:val="0"/>
        <w:numPr>
          <w:ilvl w:val="0"/>
          <w:numId w:val="9"/>
        </w:numPr>
        <w:shd w:val="clear" w:color="auto" w:fill="auto"/>
        <w:tabs>
          <w:tab w:pos="826" w:val="left"/>
        </w:tabs>
        <w:bidi w:val="0"/>
        <w:spacing w:before="0" w:after="0" w:line="240" w:lineRule="auto"/>
        <w:ind w:left="0" w:right="0" w:firstLine="560"/>
        <w:jc w:val="both"/>
      </w:pPr>
      <w:r>
        <w:rPr>
          <w:color w:val="000000"/>
          <w:spacing w:val="0"/>
          <w:w w:val="100"/>
          <w:position w:val="0"/>
          <w:shd w:val="clear" w:color="auto" w:fill="auto"/>
          <w:lang w:val="ru-RU" w:eastAsia="ru-RU" w:bidi="ru-RU"/>
        </w:rPr>
        <w:t>саморегулируемые организации, основанные на членстве лиц, осуществляющих подготовку проектной документации;</w:t>
      </w:r>
    </w:p>
    <w:p>
      <w:pPr>
        <w:pStyle w:val="Style11"/>
        <w:keepNext w:val="0"/>
        <w:keepLines w:val="0"/>
        <w:widowControl w:val="0"/>
        <w:numPr>
          <w:ilvl w:val="0"/>
          <w:numId w:val="9"/>
        </w:numPr>
        <w:shd w:val="clear" w:color="auto" w:fill="auto"/>
        <w:tabs>
          <w:tab w:pos="826" w:val="left"/>
        </w:tabs>
        <w:bidi w:val="0"/>
        <w:spacing w:before="0" w:after="0" w:line="240" w:lineRule="auto"/>
        <w:ind w:left="0" w:right="0" w:firstLine="560"/>
        <w:jc w:val="both"/>
      </w:pPr>
      <w:r>
        <w:rPr>
          <w:color w:val="000000"/>
          <w:spacing w:val="0"/>
          <w:w w:val="100"/>
          <w:position w:val="0"/>
          <w:shd w:val="clear" w:color="auto" w:fill="auto"/>
          <w:lang w:val="ru-RU" w:eastAsia="ru-RU" w:bidi="ru-RU"/>
        </w:rPr>
        <w:t>саморегулируемые организации, основанные на членстве лиц, осуществляющих строительство.</w:t>
      </w:r>
    </w:p>
    <w:p>
      <w:pPr>
        <w:pStyle w:val="Style11"/>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В силу </w:t>
      </w:r>
      <w:r>
        <w:rPr>
          <w:color w:val="111111"/>
          <w:spacing w:val="0"/>
          <w:w w:val="100"/>
          <w:position w:val="0"/>
          <w:shd w:val="clear" w:color="auto" w:fill="auto"/>
          <w:lang w:val="ru-RU" w:eastAsia="ru-RU" w:bidi="ru-RU"/>
        </w:rPr>
        <w:t>части 1 статьи 55.8 ГрК РФ индивидуальный предприниматель или юридическое лицо имеет право выполнять инженерные изыскания, осуществлять подготовку проектной документации, строительство, реконструкцию, капитальный ремонт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заключенным с застройщиком, техническим заказчиком, лицом, ответственным за эксплуатацию здания, сооружения, или региональным оператором, при условии, что такой индивидуальный предприниматель или такое юридическое лицо является членом соответственно саморегулируемой организации в области инженерных изысканий, архитектурно - строительного проектирования, строительства, реконструкции, капитального ремонта объектов капитального строительства, если иное не установлено настоящим Кодексом.</w:t>
      </w:r>
    </w:p>
    <w:p>
      <w:pPr>
        <w:pStyle w:val="Style11"/>
        <w:keepNext w:val="0"/>
        <w:keepLines w:val="0"/>
        <w:widowControl w:val="0"/>
        <w:shd w:val="clear" w:color="auto" w:fill="auto"/>
        <w:bidi w:val="0"/>
        <w:spacing w:before="0" w:after="0" w:line="240" w:lineRule="auto"/>
        <w:ind w:left="0" w:right="0" w:firstLine="700"/>
        <w:jc w:val="both"/>
      </w:pPr>
      <w:r>
        <w:rPr>
          <w:color w:val="111111"/>
          <w:spacing w:val="0"/>
          <w:w w:val="100"/>
          <w:position w:val="0"/>
          <w:shd w:val="clear" w:color="auto" w:fill="auto"/>
          <w:lang w:val="ru-RU" w:eastAsia="ru-RU" w:bidi="ru-RU"/>
        </w:rPr>
        <w:t xml:space="preserve">Таким образом, законодательством о градостроительной деятельности </w:t>
      </w:r>
      <w:r>
        <w:rPr>
          <w:color w:val="000000"/>
          <w:spacing w:val="0"/>
          <w:w w:val="100"/>
          <w:position w:val="0"/>
          <w:shd w:val="clear" w:color="auto" w:fill="auto"/>
          <w:lang w:val="ru-RU" w:eastAsia="ru-RU" w:bidi="ru-RU"/>
        </w:rPr>
        <w:t>определены случаи, при которых определенные работы должны выполняться только индивидуальными предпринимателями или юридическими лицами, которые являются членами саморегулируемой организации в соответствующей области.</w:t>
      </w:r>
    </w:p>
    <w:p>
      <w:pPr>
        <w:pStyle w:val="Style11"/>
        <w:keepNext w:val="0"/>
        <w:keepLines w:val="0"/>
        <w:widowControl w:val="0"/>
        <w:shd w:val="clear" w:color="auto" w:fill="auto"/>
        <w:bidi w:val="0"/>
        <w:spacing w:before="0" w:after="0" w:line="240" w:lineRule="auto"/>
        <w:ind w:left="0" w:right="0" w:firstLine="700"/>
        <w:jc w:val="both"/>
      </w:pPr>
      <w:r>
        <w:rPr>
          <w:color w:val="111111"/>
          <w:spacing w:val="0"/>
          <w:w w:val="100"/>
          <w:position w:val="0"/>
          <w:shd w:val="clear" w:color="auto" w:fill="auto"/>
          <w:lang w:val="ru-RU" w:eastAsia="ru-RU" w:bidi="ru-RU"/>
        </w:rPr>
        <w:t>Согласно позиции ФАС России, изложенной в информационном письме от 11.07.2023 № МШ/54828/23 «Об установлении требований к участникам закупки о членстве в саморегулируемой организации и о проверке у участников закупок членства в саморегулируемой организации» в случае, если объектом закупки являются работы по разработке проектной документации и в том числе работы по выполнению инженерных изысканий, заказчиком должно быть установлено требование к участнику закупки о наличии членства в саморегулируемой организации в области архитектурно - строительного проектирования.</w:t>
      </w:r>
    </w:p>
    <w:p>
      <w:pPr>
        <w:pStyle w:val="Style11"/>
        <w:keepNext w:val="0"/>
        <w:keepLines w:val="0"/>
        <w:widowControl w:val="0"/>
        <w:shd w:val="clear" w:color="auto" w:fill="auto"/>
        <w:bidi w:val="0"/>
        <w:spacing w:before="0" w:after="0" w:line="240" w:lineRule="auto"/>
        <w:ind w:left="0" w:right="0" w:firstLine="700"/>
        <w:jc w:val="both"/>
      </w:pPr>
      <w:r>
        <w:rPr>
          <w:color w:val="111111"/>
          <w:spacing w:val="0"/>
          <w:w w:val="100"/>
          <w:position w:val="0"/>
          <w:shd w:val="clear" w:color="auto" w:fill="auto"/>
          <w:lang w:val="ru-RU" w:eastAsia="ru-RU" w:bidi="ru-RU"/>
        </w:rPr>
        <w:t xml:space="preserve">Комиссия Коми УФАС России, принимая во внимание, что при разработке проектной документации необходимо выполнение инженерных изысканий, </w:t>
      </w:r>
      <w:r>
        <w:rPr>
          <w:color w:val="000000"/>
          <w:spacing w:val="0"/>
          <w:w w:val="100"/>
          <w:position w:val="0"/>
          <w:shd w:val="clear" w:color="auto" w:fill="auto"/>
          <w:lang w:val="ru-RU" w:eastAsia="ru-RU" w:bidi="ru-RU"/>
        </w:rPr>
        <w:t>пришла к выводу о правомерности действий Заказчика в части установления требований к участнику закупки о наличии членства в СРО в области архитектурно-строительного проектирования.</w:t>
      </w:r>
    </w:p>
    <w:p>
      <w:pPr>
        <w:pStyle w:val="Style11"/>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Касаемо довода заявителя о том, что Заказчик неправомерно установил дополнительные требования в соответствии с позицией </w:t>
      </w:r>
      <w:r>
        <w:rPr>
          <w:color w:val="111111"/>
          <w:spacing w:val="0"/>
          <w:w w:val="100"/>
          <w:position w:val="0"/>
          <w:shd w:val="clear" w:color="auto" w:fill="auto"/>
          <w:lang w:val="ru-RU" w:eastAsia="ru-RU" w:bidi="ru-RU"/>
        </w:rPr>
        <w:t xml:space="preserve">6 раздела II приложения к </w:t>
      </w:r>
      <w:r>
        <w:rPr>
          <w:color w:val="000000"/>
          <w:spacing w:val="0"/>
          <w:w w:val="100"/>
          <w:position w:val="0"/>
          <w:shd w:val="clear" w:color="auto" w:fill="auto"/>
          <w:lang w:val="ru-RU" w:eastAsia="ru-RU" w:bidi="ru-RU"/>
        </w:rPr>
        <w:t>Постановлению Правительства № 2571, Комиссия Коми УФАС России отмечает следующее.</w:t>
      </w:r>
    </w:p>
    <w:p>
      <w:pPr>
        <w:pStyle w:val="Style11"/>
        <w:keepNext w:val="0"/>
        <w:keepLines w:val="0"/>
        <w:widowControl w:val="0"/>
        <w:shd w:val="clear" w:color="auto" w:fill="auto"/>
        <w:bidi w:val="0"/>
        <w:spacing w:before="0" w:after="0" w:line="240" w:lineRule="auto"/>
        <w:ind w:left="0" w:right="0" w:firstLine="700"/>
        <w:jc w:val="both"/>
      </w:pPr>
      <w:r>
        <w:rPr>
          <w:color w:val="111111"/>
          <w:spacing w:val="0"/>
          <w:w w:val="100"/>
          <w:position w:val="0"/>
          <w:shd w:val="clear" w:color="auto" w:fill="auto"/>
          <w:lang w:val="ru-RU" w:eastAsia="ru-RU" w:bidi="ru-RU"/>
        </w:rPr>
        <w:t>Пунктом 3 Постановления Правительства № 2571 предусмотрено, что позиции приложения к Постановлению Правительства № 2571 применяются при проведении конкурентных способов определения поставщиков (подрядчиков, исполнителей), при этом позиции 6 - 13, 17 и 18 приложения применяются в случае, если при осуществлении закупки начальная (максимальная) цена контракта для обеспечения федеральных нужд превышает 10 млн. рублей, для обеспечения нужд субъектов Российской Федерации, муниципальных нужд - 5 млн. рублей.</w:t>
      </w:r>
    </w:p>
    <w:p>
      <w:pPr>
        <w:pStyle w:val="Style11"/>
        <w:keepNext w:val="0"/>
        <w:keepLines w:val="0"/>
        <w:widowControl w:val="0"/>
        <w:shd w:val="clear" w:color="auto" w:fill="auto"/>
        <w:bidi w:val="0"/>
        <w:spacing w:before="0" w:after="0" w:line="240" w:lineRule="auto"/>
        <w:ind w:left="0" w:right="0" w:firstLine="800"/>
        <w:jc w:val="both"/>
      </w:pPr>
      <w:r>
        <w:rPr>
          <w:color w:val="000000"/>
          <w:spacing w:val="0"/>
          <w:w w:val="100"/>
          <w:position w:val="0"/>
          <w:shd w:val="clear" w:color="auto" w:fill="auto"/>
          <w:lang w:val="ru-RU" w:eastAsia="ru-RU" w:bidi="ru-RU"/>
        </w:rPr>
        <w:t>Комиссией Коми УФАС России установлено, что заказчиком установлены дополнительные требования в соответствии с позицией 6 раздела II приложения к Постановлению Правительства № 2571.</w:t>
      </w:r>
    </w:p>
    <w:p>
      <w:pPr>
        <w:pStyle w:val="Style11"/>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соответствии с позицией 6 раздела II приложения к Постановлению Правительства № 2571 предусмотрены следующие дополнительные требования к участникам закупки:</w:t>
      </w:r>
    </w:p>
    <w:p>
      <w:pPr>
        <w:pStyle w:val="Style11"/>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Работы по подготовке проектной документации и (или) выполнению инженерных изысканий в соответствии с законодательством о градостроительной деятельности:</w:t>
      </w:r>
      <w:r>
        <w:br w:type="page"/>
      </w:r>
    </w:p>
    <w:p>
      <w:pPr>
        <w:pStyle w:val="Style11"/>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 наличие опыта исполнения участником закупки договора, предусматривающего выполнение работ по подготовке проектной документации и (или) выполнению инженерных изысканий в соответствии с законодательством о градостроительной деятельности.</w:t>
      </w:r>
    </w:p>
    <w:p>
      <w:pPr>
        <w:pStyle w:val="Style11"/>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Цена выполненных работ по договору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p>
      <w:pPr>
        <w:pStyle w:val="Style11"/>
        <w:keepNext w:val="0"/>
        <w:keepLines w:val="0"/>
        <w:widowControl w:val="0"/>
        <w:numPr>
          <w:ilvl w:val="0"/>
          <w:numId w:val="11"/>
        </w:numPr>
        <w:shd w:val="clear" w:color="auto" w:fill="auto"/>
        <w:tabs>
          <w:tab w:pos="933" w:val="left"/>
        </w:tabs>
        <w:bidi w:val="0"/>
        <w:spacing w:before="0" w:after="0" w:line="240" w:lineRule="auto"/>
        <w:ind w:left="0" w:right="0" w:firstLine="560"/>
        <w:jc w:val="both"/>
      </w:pPr>
      <w:r>
        <w:rPr>
          <w:color w:val="000000"/>
          <w:spacing w:val="0"/>
          <w:w w:val="100"/>
          <w:position w:val="0"/>
          <w:shd w:val="clear" w:color="auto" w:fill="auto"/>
          <w:lang w:val="ru-RU" w:eastAsia="ru-RU" w:bidi="ru-RU"/>
        </w:rPr>
        <w:t>исполненный договор;</w:t>
      </w:r>
    </w:p>
    <w:p>
      <w:pPr>
        <w:pStyle w:val="Style11"/>
        <w:keepNext w:val="0"/>
        <w:keepLines w:val="0"/>
        <w:widowControl w:val="0"/>
        <w:numPr>
          <w:ilvl w:val="0"/>
          <w:numId w:val="11"/>
        </w:numPr>
        <w:shd w:val="clear" w:color="auto" w:fill="auto"/>
        <w:tabs>
          <w:tab w:pos="962" w:val="left"/>
        </w:tabs>
        <w:bidi w:val="0"/>
        <w:spacing w:before="0" w:after="0" w:line="240" w:lineRule="auto"/>
        <w:ind w:left="0" w:right="0" w:firstLine="560"/>
        <w:jc w:val="both"/>
      </w:pPr>
      <w:r>
        <w:rPr>
          <w:color w:val="000000"/>
          <w:spacing w:val="0"/>
          <w:w w:val="100"/>
          <w:position w:val="0"/>
          <w:shd w:val="clear" w:color="auto" w:fill="auto"/>
          <w:lang w:val="ru-RU" w:eastAsia="ru-RU" w:bidi="ru-RU"/>
        </w:rPr>
        <w:t>акт выполненных работ, подтверждающий цену выполненных работ;</w:t>
      </w:r>
    </w:p>
    <w:p>
      <w:pPr>
        <w:pStyle w:val="Style11"/>
        <w:keepNext w:val="0"/>
        <w:keepLines w:val="0"/>
        <w:widowControl w:val="0"/>
        <w:numPr>
          <w:ilvl w:val="0"/>
          <w:numId w:val="11"/>
        </w:numPr>
        <w:shd w:val="clear" w:color="auto" w:fill="auto"/>
        <w:tabs>
          <w:tab w:pos="949" w:val="left"/>
        </w:tabs>
        <w:bidi w:val="0"/>
        <w:spacing w:before="0" w:after="0" w:line="240" w:lineRule="auto"/>
        <w:ind w:left="0" w:right="0" w:firstLine="560"/>
        <w:jc w:val="both"/>
      </w:pPr>
      <w:r>
        <w:rPr>
          <w:color w:val="000000"/>
          <w:spacing w:val="0"/>
          <w:w w:val="100"/>
          <w:position w:val="0"/>
          <w:shd w:val="clear" w:color="auto" w:fill="auto"/>
          <w:lang w:val="ru-RU" w:eastAsia="ru-RU" w:bidi="ru-RU"/>
        </w:rPr>
        <w:t>положительное заключение экспертизы проектной документации и (или) результатов инженерных изысканий (за исключением случаев, при которых такое заключение не выдается в соответствии с законодательством о градостроительной деятельности).</w:t>
      </w:r>
    </w:p>
    <w:p>
      <w:pPr>
        <w:pStyle w:val="Style11"/>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Проанализировав положения извещения о проведении электронного аукциона, Комиссией Коми УФАС России установлено, что заказчиком правомерно установлены дополнительные требования к участникам закупки.</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в действиях заказчика нарушения положения части 6 статьи 31, пункта 12 части 1 статьи 42 Закона о контрактной системе отсутствуют.</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Следует отметить, что каких-либо доказательств, подтверждающих заявленные в жалобе доводы, Заявителем не представлено.</w:t>
      </w:r>
    </w:p>
    <w:p>
      <w:pPr>
        <w:pStyle w:val="Style11"/>
        <w:keepNext w:val="0"/>
        <w:keepLines w:val="0"/>
        <w:widowControl w:val="0"/>
        <w:shd w:val="clear" w:color="auto" w:fill="auto"/>
        <w:bidi w:val="0"/>
        <w:spacing w:before="0" w:after="260" w:line="240" w:lineRule="auto"/>
        <w:ind w:left="0" w:right="0" w:firstLine="720"/>
        <w:jc w:val="both"/>
      </w:pPr>
      <w:r>
        <w:rPr>
          <w:color w:val="000000"/>
          <w:spacing w:val="0"/>
          <w:w w:val="100"/>
          <w:position w:val="0"/>
          <w:shd w:val="clear" w:color="auto" w:fill="auto"/>
          <w:lang w:val="ru-RU" w:eastAsia="ru-RU" w:bidi="ru-RU"/>
        </w:rPr>
        <w:t>С учетом всех изложенных обстоятельств, установленных в ходе рассмотрения жалобы, руководствуясь подпунктом «б» пункта 1 части 3, пунктом 1 части 15 статьи 99, частью 8 статьи 106 Закона о контрактной системе, Комиссия Коми УФАС России</w:t>
      </w:r>
    </w:p>
    <w:p>
      <w:pPr>
        <w:pStyle w:val="Style16"/>
        <w:keepNext/>
        <w:keepLines/>
        <w:widowControl w:val="0"/>
        <w:shd w:val="clear" w:color="auto" w:fill="auto"/>
        <w:bidi w:val="0"/>
        <w:spacing w:before="0" w:after="260" w:line="240" w:lineRule="auto"/>
        <w:ind w:left="0" w:right="0" w:firstLine="0"/>
        <w:jc w:val="center"/>
      </w:pPr>
      <w:bookmarkStart w:id="4" w:name="bookmark4"/>
      <w:r>
        <w:rPr>
          <w:color w:val="000000"/>
          <w:spacing w:val="0"/>
          <w:w w:val="100"/>
          <w:position w:val="0"/>
          <w:shd w:val="clear" w:color="auto" w:fill="auto"/>
          <w:lang w:val="ru-RU" w:eastAsia="ru-RU" w:bidi="ru-RU"/>
        </w:rPr>
        <w:t>РЕШИЛА:</w:t>
      </w:r>
      <w:bookmarkEnd w:id="4"/>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1. Признать жалобу ИП Тожибаева З.П. необоснованной.</w:t>
      </w:r>
    </w:p>
    <w:p>
      <w:pPr>
        <w:pStyle w:val="Style11"/>
        <w:keepNext w:val="0"/>
        <w:keepLines w:val="0"/>
        <w:widowControl w:val="0"/>
        <w:shd w:val="clear" w:color="auto" w:fill="auto"/>
        <w:bidi w:val="0"/>
        <w:spacing w:before="0" w:after="260" w:line="240" w:lineRule="auto"/>
        <w:ind w:left="0" w:right="0" w:firstLine="720"/>
        <w:jc w:val="both"/>
      </w:pPr>
      <w:r>
        <w:rPr>
          <w:color w:val="000000"/>
          <w:spacing w:val="0"/>
          <w:w w:val="100"/>
          <w:position w:val="0"/>
          <w:shd w:val="clear" w:color="auto" w:fill="auto"/>
          <w:lang w:val="ru-RU" w:eastAsia="ru-RU" w:bidi="ru-RU"/>
        </w:rPr>
        <w:t>2. По результатам рассмотрения жалобы и проведения внеплановой проверки в действиях заказчика нарушения Закона о контрактной системе не подтверждены.</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части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widowControl w:val="0"/>
        <w:spacing w:line="1" w:lineRule="exact"/>
        <w:sectPr>
          <w:headerReference w:type="default" r:id="rId12"/>
          <w:footerReference w:type="default" r:id="rId13"/>
          <w:footnotePr>
            <w:pos w:val="pageBottom"/>
            <w:numFmt w:val="decimal"/>
            <w:numRestart w:val="continuous"/>
          </w:footnotePr>
          <w:pgSz w:w="11900" w:h="16840"/>
          <w:pgMar w:top="1143" w:right="534" w:bottom="1273" w:left="1104" w:header="0" w:footer="3" w:gutter="0"/>
          <w:cols w:space="720"/>
          <w:noEndnote/>
          <w:rtlGutter w:val="0"/>
          <w:docGrid w:linePitch="360"/>
        </w:sectPr>
      </w:pPr>
      <w:r>
        <mc:AlternateContent>
          <mc:Choice Requires="wps">
            <w:drawing>
              <wp:anchor distT="114300" distB="399415" distL="0" distR="0" simplePos="0" relativeHeight="125829385" behindDoc="0" locked="0" layoutInCell="1" allowOverlap="1">
                <wp:simplePos x="0" y="0"/>
                <wp:positionH relativeFrom="page">
                  <wp:posOffset>740410</wp:posOffset>
                </wp:positionH>
                <wp:positionV relativeFrom="paragraph">
                  <wp:posOffset>114300</wp:posOffset>
                </wp:positionV>
                <wp:extent cx="1700530" cy="225425"/>
                <wp:wrapTopAndBottom/>
                <wp:docPr id="21" name="Shape 21"/>
                <a:graphic xmlns:a="http://schemas.openxmlformats.org/drawingml/2006/main">
                  <a:graphicData uri="http://schemas.microsoft.com/office/word/2010/wordprocessingShape">
                    <wps:wsp>
                      <wps:cNvSpPr txBox="1"/>
                      <wps:spPr>
                        <a:xfrm>
                          <a:ext cx="1700530" cy="22542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47" type="#_x0000_t202" style="position:absolute;margin-left:58.300000000000004pt;margin-top:9.pt;width:133.90000000000001pt;height:17.75pt;z-index:-125829368;mso-wrap-distance-left:0;mso-wrap-distance-top:9.pt;mso-wrap-distance-right:0;mso-wrap-distance-bottom:31.449999999999999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w:drawing>
          <wp:anchor distT="202565" distB="0" distL="0" distR="1789430" simplePos="0" relativeHeight="125829387" behindDoc="0" locked="0" layoutInCell="1" allowOverlap="1">
            <wp:simplePos x="0" y="0"/>
            <wp:positionH relativeFrom="page">
              <wp:posOffset>3267075</wp:posOffset>
            </wp:positionH>
            <wp:positionV relativeFrom="paragraph">
              <wp:posOffset>202565</wp:posOffset>
            </wp:positionV>
            <wp:extent cx="353695" cy="536575"/>
            <wp:wrapTopAndBottom/>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14"/>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3730625</wp:posOffset>
                </wp:positionH>
                <wp:positionV relativeFrom="paragraph">
                  <wp:posOffset>605155</wp:posOffset>
                </wp:positionV>
                <wp:extent cx="1283335" cy="103505"/>
                <wp:wrapNone/>
                <wp:docPr id="25" name="Shape 25"/>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2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b/>
                                <w:bCs/>
                                <w:color w:val="E9E9E9"/>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1" type="#_x0000_t202" style="position:absolute;margin-left:293.75pt;margin-top:47.649999999999999pt;width:101.05pt;height:8.1500000000000004pt;z-index:251657729;mso-wrap-distance-left:0;mso-wrap-distance-right:0;mso-position-horizontal-relative:page" filled="f" stroked="f">
                <v:textbox inset="0,0,0,0">
                  <w:txbxContent>
                    <w:p>
                      <w:pPr>
                        <w:pStyle w:val="Style2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b/>
                          <w:bCs/>
                          <w:color w:val="E9E9E9"/>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3684905</wp:posOffset>
                </wp:positionH>
                <wp:positionV relativeFrom="paragraph">
                  <wp:posOffset>294005</wp:posOffset>
                </wp:positionV>
                <wp:extent cx="1725295" cy="255905"/>
                <wp:wrapNone/>
                <wp:docPr id="27" name="Shape 27"/>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5"/>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3" type="#_x0000_t202" style="position:absolute;margin-left:290.15000000000003pt;margin-top:23.150000000000002pt;width:135.84999999999999pt;height:20.150000000000002pt;z-index:251657731;mso-wrap-distance-left:0;mso-wrap-distance-right:0;mso-position-horizontal-relative:page" filled="f" stroked="f">
                <v:textbox inset="0,0,0,0">
                  <w:txbxContent>
                    <w:p>
                      <w:pPr>
                        <w:pStyle w:val="Style25"/>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339725" distB="164465" distL="0" distR="0" simplePos="0" relativeHeight="125829388" behindDoc="0" locked="0" layoutInCell="1" allowOverlap="1">
                <wp:simplePos x="0" y="0"/>
                <wp:positionH relativeFrom="page">
                  <wp:posOffset>6217920</wp:posOffset>
                </wp:positionH>
                <wp:positionV relativeFrom="paragraph">
                  <wp:posOffset>339725</wp:posOffset>
                </wp:positionV>
                <wp:extent cx="975360" cy="234950"/>
                <wp:wrapTopAndBottom/>
                <wp:docPr id="29" name="Shape 29"/>
                <a:graphic xmlns:a="http://schemas.openxmlformats.org/drawingml/2006/main">
                  <a:graphicData uri="http://schemas.microsoft.com/office/word/2010/wordprocessingShape">
                    <wps:wsp>
                      <wps:cNvSpPr txBox="1"/>
                      <wps:spPr>
                        <a:xfrm>
                          <a:ext cx="975360" cy="23495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О.И. Дейберт</w:t>
                            </w:r>
                          </w:p>
                        </w:txbxContent>
                      </wps:txbx>
                      <wps:bodyPr wrap="none" lIns="0" tIns="0" rIns="0" bIns="0">
                        <a:noAutoFit/>
                      </wps:bodyPr>
                    </wps:wsp>
                  </a:graphicData>
                </a:graphic>
              </wp:anchor>
            </w:drawing>
          </mc:Choice>
          <mc:Fallback>
            <w:pict>
              <v:shape id="_x0000_s1055" type="#_x0000_t202" style="position:absolute;margin-left:489.60000000000002pt;margin-top:26.75pt;width:76.799999999999997pt;height:18.5pt;z-index:-125829365;mso-wrap-distance-left:0;mso-wrap-distance-top:26.75pt;mso-wrap-distance-right:0;mso-wrap-distance-bottom:12.950000000000001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О.И. Дейберт</w:t>
                      </w:r>
                    </w:p>
                  </w:txbxContent>
                </v:textbox>
                <w10:wrap type="topAndBottom" anchorx="page"/>
              </v:shape>
            </w:pict>
          </mc:Fallback>
        </mc:AlternateContent>
      </w:r>
    </w:p>
    <w:p>
      <w:pPr>
        <w:pStyle w:val="Style29"/>
        <w:keepNext w:val="0"/>
        <w:keepLines w:val="0"/>
        <w:widowControl w:val="0"/>
        <w:shd w:val="clear" w:color="auto" w:fill="auto"/>
        <w:bidi w:val="0"/>
        <w:spacing w:before="0" w:after="0" w:line="240" w:lineRule="auto"/>
        <w:ind w:right="0" w:firstLine="0"/>
        <w:jc w:val="left"/>
        <w:rPr>
          <w:sz w:val="11"/>
          <w:szCs w:val="11"/>
        </w:rPr>
      </w:pPr>
      <w:r>
        <w:rPr>
          <w:color w:val="666666"/>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Дейберт Ольга Ивановна</w:t>
      </w:r>
    </w:p>
    <w:p>
      <w:pPr>
        <w:pStyle w:val="Style29"/>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00АСВ803Е92680СЕ453А7Е64СВ91А16Е18</w:t>
      </w:r>
    </w:p>
    <w:p>
      <w:pPr>
        <w:pStyle w:val="Style29"/>
        <w:keepNext w:val="0"/>
        <w:keepLines w:val="0"/>
        <w:widowControl w:val="0"/>
        <w:shd w:val="clear" w:color="auto" w:fill="auto"/>
        <w:bidi w:val="0"/>
        <w:spacing w:before="0" w:after="0" w:line="240" w:lineRule="auto"/>
        <w:ind w:right="0" w:firstLine="0"/>
        <w:jc w:val="left"/>
      </w:pPr>
      <w:r>
        <w:rPr>
          <w:color w:val="666666"/>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29.03.2023 по </w:t>
      </w:r>
      <w:r>
        <w:rPr>
          <w:color w:val="666666"/>
          <w:spacing w:val="0"/>
          <w:w w:val="100"/>
          <w:position w:val="0"/>
          <w:shd w:val="clear" w:color="auto" w:fill="auto"/>
          <w:lang w:val="ru-RU" w:eastAsia="ru-RU" w:bidi="ru-RU"/>
        </w:rPr>
        <w:t>21.06.2024</w:t>
      </w:r>
    </w:p>
    <w:p>
      <w:pPr>
        <w:widowControl w:val="0"/>
        <w:spacing w:line="1" w:lineRule="exact"/>
        <w:sectPr>
          <w:footnotePr>
            <w:pos w:val="pageBottom"/>
            <w:numFmt w:val="decimal"/>
            <w:numRestart w:val="continuous"/>
          </w:footnotePr>
          <w:type w:val="continuous"/>
          <w:pgSz w:w="11900" w:h="16840"/>
          <w:pgMar w:top="1143" w:right="541" w:bottom="2093" w:left="1106" w:header="0" w:footer="3" w:gutter="0"/>
          <w:cols w:space="720"/>
          <w:noEndnote/>
          <w:rtlGutter w:val="0"/>
          <w:docGrid w:linePitch="360"/>
        </w:sectPr>
      </w:pPr>
      <w:r>
        <mc:AlternateContent>
          <mc:Choice Requires="wps">
            <w:drawing>
              <wp:anchor distT="190500" distB="215900" distL="0" distR="0" simplePos="0" relativeHeight="125829390" behindDoc="0" locked="0" layoutInCell="1" allowOverlap="1">
                <wp:simplePos x="0" y="0"/>
                <wp:positionH relativeFrom="page">
                  <wp:posOffset>737235</wp:posOffset>
                </wp:positionH>
                <wp:positionV relativeFrom="paragraph">
                  <wp:posOffset>190500</wp:posOffset>
                </wp:positionV>
                <wp:extent cx="1246505" cy="234950"/>
                <wp:wrapTopAndBottom/>
                <wp:docPr id="31" name="Shape 31"/>
                <a:graphic xmlns:a="http://schemas.openxmlformats.org/drawingml/2006/main">
                  <a:graphicData uri="http://schemas.microsoft.com/office/word/2010/wordprocessingShape">
                    <wps:wsp>
                      <wps:cNvSpPr txBox="1"/>
                      <wps:spPr>
                        <a:xfrm>
                          <a:ext cx="1246505" cy="23495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wps:txbx>
                      <wps:bodyPr wrap="none" lIns="0" tIns="0" rIns="0" bIns="0">
                        <a:noAutoFit/>
                      </wps:bodyPr>
                    </wps:wsp>
                  </a:graphicData>
                </a:graphic>
              </wp:anchor>
            </w:drawing>
          </mc:Choice>
          <mc:Fallback>
            <w:pict>
              <v:shape id="_x0000_s1057" type="#_x0000_t202" style="position:absolute;margin-left:58.050000000000004pt;margin-top:15.pt;width:98.150000000000006pt;height:18.5pt;z-index:-125829363;mso-wrap-distance-left:0;mso-wrap-distance-top:15.pt;mso-wrap-distance-right:0;mso-wrap-distance-bottom:17.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v:textbox>
                <w10:wrap type="topAndBottom" anchorx="page"/>
              </v:shape>
            </w:pict>
          </mc:Fallback>
        </mc:AlternateContent>
      </w:r>
      <w:r>
        <w:drawing>
          <wp:anchor distT="281940" distB="0" distL="0" distR="1804670" simplePos="0" relativeHeight="125829392" behindDoc="0" locked="0" layoutInCell="1" allowOverlap="1">
            <wp:simplePos x="0" y="0"/>
            <wp:positionH relativeFrom="page">
              <wp:posOffset>3321685</wp:posOffset>
            </wp:positionH>
            <wp:positionV relativeFrom="paragraph">
              <wp:posOffset>281940</wp:posOffset>
            </wp:positionV>
            <wp:extent cx="311150" cy="359410"/>
            <wp:wrapTopAndBottom/>
            <wp:docPr id="33" name="Shape 33"/>
            <a:graphic xmlns:a="http://schemas.openxmlformats.org/drawingml/2006/main">
              <a:graphicData uri="http://schemas.openxmlformats.org/drawingml/2006/picture">
                <pic:pic xmlns:pic="http://schemas.openxmlformats.org/drawingml/2006/picture">
                  <pic:nvPicPr>
                    <pic:cNvPr id="34" name="Picture box 34"/>
                    <pic:cNvPicPr/>
                  </pic:nvPicPr>
                  <pic:blipFill>
                    <a:blip r:embed="rId16"/>
                    <a:stretch/>
                  </pic:blipFill>
                  <pic:spPr>
                    <a:xfrm>
                      <a:ext cx="311150" cy="35941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3714750</wp:posOffset>
                </wp:positionH>
                <wp:positionV relativeFrom="paragraph">
                  <wp:posOffset>351790</wp:posOffset>
                </wp:positionV>
                <wp:extent cx="1722120" cy="255905"/>
                <wp:wrapNone/>
                <wp:docPr id="35" name="Shape 35"/>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5"/>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1" type="#_x0000_t202" style="position:absolute;margin-left:292.5pt;margin-top:27.699999999999999pt;width:135.59999999999999pt;height:20.150000000000002pt;z-index:251657733;mso-wrap-distance-left:0;mso-wrap-distance-right:0;mso-position-horizontal-relative:page" filled="f" stroked="f">
                <v:textbox inset="0,0,0,0">
                  <w:txbxContent>
                    <w:p>
                      <w:pPr>
                        <w:pStyle w:val="Style25"/>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190500" distB="215900" distL="0" distR="0" simplePos="0" relativeHeight="125829393" behindDoc="0" locked="0" layoutInCell="1" allowOverlap="1">
                <wp:simplePos x="0" y="0"/>
                <wp:positionH relativeFrom="page">
                  <wp:posOffset>6293485</wp:posOffset>
                </wp:positionH>
                <wp:positionV relativeFrom="paragraph">
                  <wp:posOffset>190500</wp:posOffset>
                </wp:positionV>
                <wp:extent cx="899160" cy="234950"/>
                <wp:wrapTopAndBottom/>
                <wp:docPr id="37" name="Shape 37"/>
                <a:graphic xmlns:a="http://schemas.openxmlformats.org/drawingml/2006/main">
                  <a:graphicData uri="http://schemas.microsoft.com/office/word/2010/wordprocessingShape">
                    <wps:wsp>
                      <wps:cNvSpPr txBox="1"/>
                      <wps:spPr>
                        <a:xfrm>
                          <a:ext cx="899160" cy="23495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Н.В. Сандул</w:t>
                            </w:r>
                          </w:p>
                        </w:txbxContent>
                      </wps:txbx>
                      <wps:bodyPr wrap="none" lIns="0" tIns="0" rIns="0" bIns="0">
                        <a:noAutoFit/>
                      </wps:bodyPr>
                    </wps:wsp>
                  </a:graphicData>
                </a:graphic>
              </wp:anchor>
            </w:drawing>
          </mc:Choice>
          <mc:Fallback>
            <w:pict>
              <v:shape id="_x0000_s1063" type="#_x0000_t202" style="position:absolute;margin-left:495.55000000000001pt;margin-top:15.pt;width:70.799999999999997pt;height:18.5pt;z-index:-125829360;mso-wrap-distance-left:0;mso-wrap-distance-top:15.pt;mso-wrap-distance-right:0;mso-wrap-distance-bottom:17.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Н.В. Сандул</w:t>
                      </w:r>
                    </w:p>
                  </w:txbxContent>
                </v:textbox>
                <w10:wrap type="topAndBottom" anchorx="page"/>
              </v:shape>
            </w:pict>
          </mc:Fallback>
        </mc:AlternateContent>
      </w:r>
    </w:p>
    <w:p>
      <w:pPr>
        <w:pStyle w:val="Style34"/>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71" w:line="240" w:lineRule="auto"/>
        <w:ind w:right="0" w:firstLine="0"/>
        <w:jc w:val="left"/>
      </w:pPr>
      <w:r>
        <w:rPr>
          <w:spacing w:val="0"/>
          <w:w w:val="100"/>
          <w:position w:val="0"/>
          <w:shd w:val="clear" w:color="auto" w:fill="auto"/>
          <w:lang w:val="ru-RU" w:eastAsia="ru-RU" w:bidi="ru-RU"/>
        </w:rPr>
        <w:t xml:space="preserve">СВЕДЕНИЯ </w:t>
      </w:r>
      <w:r>
        <w:rPr>
          <w:color w:val="FFFFFF"/>
          <w:spacing w:val="0"/>
          <w:w w:val="100"/>
          <w:position w:val="0"/>
          <w:shd w:val="clear" w:color="auto" w:fill="auto"/>
          <w:lang w:val="ru-RU" w:eastAsia="ru-RU" w:bidi="ru-RU"/>
        </w:rPr>
        <w:t xml:space="preserve">О </w:t>
      </w:r>
      <w:r>
        <w:rPr>
          <w:spacing w:val="0"/>
          <w:w w:val="100"/>
          <w:position w:val="0"/>
          <w:shd w:val="clear" w:color="auto" w:fill="auto"/>
          <w:lang w:val="ru-RU" w:eastAsia="ru-RU" w:bidi="ru-RU"/>
        </w:rPr>
        <w:t>СЕРТИФИКАТЕ ЭП</w:t>
      </w:r>
    </w:p>
    <w:p>
      <w:pPr>
        <w:pStyle w:val="Style29"/>
        <w:keepNext w:val="0"/>
        <w:keepLines w:val="0"/>
        <w:widowControl w:val="0"/>
        <w:shd w:val="clear" w:color="auto" w:fill="auto"/>
        <w:bidi w:val="0"/>
        <w:spacing w:before="0" w:after="0" w:line="240" w:lineRule="auto"/>
        <w:ind w:left="4100" w:right="0" w:firstLine="0"/>
        <w:jc w:val="left"/>
        <w:rPr>
          <w:sz w:val="11"/>
          <w:szCs w:val="11"/>
        </w:rPr>
      </w:pPr>
      <w:r>
        <w:rPr>
          <w:color w:val="848484"/>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Сандул Наталия Васильевна</w:t>
      </w:r>
    </w:p>
    <w:p>
      <w:pPr>
        <w:pStyle w:val="Style29"/>
        <w:keepNext w:val="0"/>
        <w:keepLines w:val="0"/>
        <w:widowControl w:val="0"/>
        <w:shd w:val="clear" w:color="auto" w:fill="auto"/>
        <w:bidi w:val="0"/>
        <w:spacing w:before="0" w:after="0" w:line="240" w:lineRule="auto"/>
        <w:ind w:left="4100"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00833В81ЕОЗЕЕЗЮ69962О396А086ОА998</w:t>
      </w:r>
    </w:p>
    <w:p>
      <w:pPr>
        <w:pStyle w:val="Style29"/>
        <w:keepNext w:val="0"/>
        <w:keepLines w:val="0"/>
        <w:widowControl w:val="0"/>
        <w:shd w:val="clear" w:color="auto" w:fill="auto"/>
        <w:bidi w:val="0"/>
        <w:spacing w:before="0" w:after="60" w:line="240" w:lineRule="auto"/>
        <w:ind w:left="4100" w:right="0" w:firstLine="0"/>
        <w:jc w:val="left"/>
        <w:sectPr>
          <w:footnotePr>
            <w:pos w:val="pageBottom"/>
            <w:numFmt w:val="decimal"/>
            <w:numRestart w:val="continuous"/>
          </w:footnotePr>
          <w:type w:val="continuous"/>
          <w:pgSz w:w="11900" w:h="16840"/>
          <w:pgMar w:top="1143" w:right="541" w:bottom="1143" w:left="1106" w:header="0" w:footer="3" w:gutter="0"/>
          <w:cols w:space="720"/>
          <w:noEndnote/>
          <w:rtlGutter w:val="0"/>
          <w:docGrid w:linePitch="360"/>
        </w:sectPr>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07.06.2023 </w:t>
      </w:r>
      <w:r>
        <w:rPr>
          <w:color w:val="848484"/>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30.08.2024</w:t>
      </w:r>
    </w:p>
    <w:p>
      <w:pPr>
        <w:widowControl w:val="0"/>
        <w:spacing w:before="49" w:after="49" w:line="240" w:lineRule="exact"/>
        <w:rPr>
          <w:sz w:val="19"/>
          <w:szCs w:val="19"/>
        </w:rPr>
      </w:pPr>
    </w:p>
    <w:p>
      <w:pPr>
        <w:widowControl w:val="0"/>
        <w:spacing w:line="1" w:lineRule="exact"/>
        <w:sectPr>
          <w:footnotePr>
            <w:pos w:val="pageBottom"/>
            <w:numFmt w:val="decimal"/>
            <w:numRestart w:val="continuous"/>
          </w:footnotePr>
          <w:pgSz w:w="11900" w:h="16840"/>
          <w:pgMar w:top="821" w:right="575" w:bottom="1167" w:left="1140" w:header="0" w:footer="3" w:gutter="0"/>
          <w:cols w:space="720"/>
          <w:noEndnote/>
          <w:rtlGutter w:val="0"/>
          <w:docGrid w:linePitch="360"/>
        </w:sectPr>
      </w:pPr>
    </w:p>
    <w:p>
      <w:pPr>
        <w:pStyle w:val="Style25"/>
        <w:keepNext w:val="0"/>
        <w:keepLines w:val="0"/>
        <w:framePr w:w="2016" w:h="158" w:wrap="none" w:vAnchor="text" w:hAnchor="page" w:x="5797" w:y="923"/>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b/>
          <w:bCs/>
          <w:color w:val="E9E9E9"/>
          <w:spacing w:val="0"/>
          <w:w w:val="100"/>
          <w:position w:val="0"/>
          <w:shd w:val="clear" w:color="auto" w:fill="auto"/>
          <w:lang w:val="ru-RU" w:eastAsia="ru-RU" w:bidi="ru-RU"/>
        </w:rPr>
        <w:t xml:space="preserve">СВЕДЕНИЯ </w:t>
      </w:r>
      <w:r>
        <w:rPr>
          <w:b/>
          <w:bCs/>
          <w:color w:val="FFFFFF"/>
          <w:spacing w:val="0"/>
          <w:w w:val="100"/>
          <w:position w:val="0"/>
          <w:shd w:val="clear" w:color="auto" w:fill="auto"/>
          <w:lang w:val="ru-RU" w:eastAsia="ru-RU" w:bidi="ru-RU"/>
        </w:rPr>
        <w:t xml:space="preserve">О </w:t>
      </w:r>
      <w:r>
        <w:rPr>
          <w:b/>
          <w:bCs/>
          <w:color w:val="E9E9E9"/>
          <w:spacing w:val="0"/>
          <w:w w:val="100"/>
          <w:position w:val="0"/>
          <w:shd w:val="clear" w:color="auto" w:fill="auto"/>
          <w:lang w:val="ru-RU" w:eastAsia="ru-RU" w:bidi="ru-RU"/>
        </w:rPr>
        <w:t>СЕРТИФИКАТЕ ЭП</w:t>
      </w:r>
    </w:p>
    <w:p>
      <w:pPr>
        <w:pStyle w:val="Style25"/>
        <w:keepNext w:val="0"/>
        <w:keepLines w:val="0"/>
        <w:framePr w:w="2712" w:h="403" w:wrap="none" w:vAnchor="text" w:hAnchor="page" w:x="5730" w:y="428"/>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p>
      <w:pPr>
        <w:pStyle w:val="Style11"/>
        <w:keepNext w:val="0"/>
        <w:keepLines w:val="0"/>
        <w:framePr w:w="1560" w:h="365" w:wrap="none" w:vAnchor="text" w:hAnchor="page" w:x="9766" w:y="2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А.В. Оверина</w:t>
      </w:r>
    </w:p>
    <w:p>
      <w:pPr>
        <w:widowControl w:val="0"/>
        <w:spacing w:line="360" w:lineRule="exact"/>
      </w:pPr>
      <w:r>
        <w:drawing>
          <wp:anchor distT="0" distB="0" distL="0" distR="1786255" simplePos="0" relativeHeight="62914702" behindDoc="1" locked="0" layoutInCell="1" allowOverlap="1">
            <wp:simplePos x="0" y="0"/>
            <wp:positionH relativeFrom="page">
              <wp:posOffset>3223260</wp:posOffset>
            </wp:positionH>
            <wp:positionV relativeFrom="paragraph">
              <wp:posOffset>182880</wp:posOffset>
            </wp:positionV>
            <wp:extent cx="353695" cy="536575"/>
            <wp:wrapNone/>
            <wp:docPr id="39" name="Shape 39"/>
            <a:graphic xmlns:a="http://schemas.openxmlformats.org/drawingml/2006/main">
              <a:graphicData uri="http://schemas.openxmlformats.org/drawingml/2006/picture">
                <pic:pic xmlns:pic="http://schemas.openxmlformats.org/drawingml/2006/picture">
                  <pic:nvPicPr>
                    <pic:cNvPr id="40" name="Picture box 40"/>
                    <pic:cNvPicPr/>
                  </pic:nvPicPr>
                  <pic:blipFill>
                    <a:blip r:embed="rId18"/>
                    <a:stretch/>
                  </pic:blipFill>
                  <pic:spPr>
                    <a:xfrm>
                      <a:ext cx="353695" cy="536575"/>
                    </a:xfrm>
                    <a:prstGeom prst="rect"/>
                  </pic:spPr>
                </pic:pic>
              </a:graphicData>
            </a:graphic>
          </wp:anchor>
        </w:drawing>
      </w:r>
    </w:p>
    <w:p>
      <w:pPr>
        <w:widowControl w:val="0"/>
        <w:spacing w:line="360" w:lineRule="exact"/>
      </w:pPr>
    </w:p>
    <w:p>
      <w:pPr>
        <w:widowControl w:val="0"/>
        <w:spacing w:after="407" w:line="1" w:lineRule="exact"/>
      </w:pPr>
    </w:p>
    <w:p>
      <w:pPr>
        <w:widowControl w:val="0"/>
        <w:spacing w:line="1" w:lineRule="exact"/>
        <w:sectPr>
          <w:footnotePr>
            <w:pos w:val="pageBottom"/>
            <w:numFmt w:val="decimal"/>
            <w:numRestart w:val="continuous"/>
          </w:footnotePr>
          <w:type w:val="continuous"/>
          <w:pgSz w:w="11900" w:h="16840"/>
          <w:pgMar w:top="821" w:right="575" w:bottom="1167" w:left="1140" w:header="0" w:footer="3" w:gutter="0"/>
          <w:cols w:space="720"/>
          <w:noEndnote/>
          <w:rtlGutter w:val="0"/>
          <w:docGrid w:linePitch="360"/>
        </w:sectPr>
      </w:pPr>
    </w:p>
    <w:p>
      <w:pPr>
        <w:pStyle w:val="Style29"/>
        <w:keepNext w:val="0"/>
        <w:keepLines w:val="0"/>
        <w:widowControl w:val="0"/>
        <w:shd w:val="clear" w:color="auto" w:fill="auto"/>
        <w:bidi w:val="0"/>
        <w:spacing w:before="0" w:after="0" w:line="240" w:lineRule="auto"/>
        <w:ind w:left="0" w:right="0" w:firstLine="0"/>
        <w:jc w:val="left"/>
        <w:rPr>
          <w:sz w:val="11"/>
          <w:szCs w:val="11"/>
        </w:rPr>
      </w:pPr>
      <w:r>
        <w:rPr>
          <w:color w:val="666666"/>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Оверина Анна Владимировна</w:t>
      </w:r>
    </w:p>
    <w:p>
      <w:pPr>
        <w:pStyle w:val="Style2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ООРОВЕЕЕ1</w:t>
      </w:r>
      <w:r>
        <w:rPr>
          <w:color w:val="666666"/>
          <w:spacing w:val="0"/>
          <w:w w:val="100"/>
          <w:position w:val="0"/>
          <w:shd w:val="clear" w:color="auto" w:fill="auto"/>
          <w:lang w:val="ru-RU" w:eastAsia="ru-RU" w:bidi="ru-RU"/>
        </w:rPr>
        <w:t>890Р531</w:t>
      </w:r>
      <w:r>
        <w:rPr>
          <w:color w:val="000000"/>
          <w:spacing w:val="0"/>
          <w:w w:val="100"/>
          <w:position w:val="0"/>
          <w:shd w:val="clear" w:color="auto" w:fill="auto"/>
          <w:lang w:val="ru-RU" w:eastAsia="ru-RU" w:bidi="ru-RU"/>
        </w:rPr>
        <w:t xml:space="preserve">ВВ4621 </w:t>
      </w:r>
      <w:r>
        <w:rPr>
          <w:color w:val="242424"/>
          <w:spacing w:val="0"/>
          <w:w w:val="100"/>
          <w:position w:val="0"/>
          <w:shd w:val="clear" w:color="auto" w:fill="auto"/>
          <w:lang w:val="ru-RU" w:eastAsia="ru-RU" w:bidi="ru-RU"/>
        </w:rPr>
        <w:t>С64СР7Е79360</w:t>
      </w:r>
    </w:p>
    <w:p>
      <w:pPr>
        <w:pStyle w:val="Style2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666666"/>
          <w:spacing w:val="0"/>
          <w:w w:val="100"/>
          <w:position w:val="0"/>
          <w:shd w:val="clear" w:color="auto" w:fill="auto"/>
          <w:lang w:val="ru-RU" w:eastAsia="ru-RU" w:bidi="ru-RU"/>
        </w:rPr>
        <w:t xml:space="preserve">15.05.2023 по </w:t>
      </w:r>
      <w:r>
        <w:rPr>
          <w:spacing w:val="0"/>
          <w:w w:val="100"/>
          <w:position w:val="0"/>
          <w:shd w:val="clear" w:color="auto" w:fill="auto"/>
          <w:lang w:val="ru-RU" w:eastAsia="ru-RU" w:bidi="ru-RU"/>
        </w:rPr>
        <w:t>07.08.2024</w:t>
      </w:r>
    </w:p>
    <w:sectPr>
      <w:footnotePr>
        <w:pos w:val="pageBottom"/>
        <w:numFmt w:val="decimal"/>
        <w:numRestart w:val="continuous"/>
      </w:footnotePr>
      <w:type w:val="continuous"/>
      <w:pgSz w:w="11900" w:h="16840"/>
      <w:pgMar w:top="1201" w:right="3363" w:bottom="1201" w:left="5090"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10278110</wp:posOffset>
              </wp:positionV>
              <wp:extent cx="648970" cy="100330"/>
              <wp:wrapNone/>
              <wp:docPr id="9" name="Shape 9"/>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2023-4707</w:t>
                          </w:r>
                        </w:p>
                      </w:txbxContent>
                    </wps:txbx>
                    <wps:bodyPr wrap="none" lIns="0" tIns="0" rIns="0" bIns="0">
                      <a:spAutoFit/>
                    </wps:bodyPr>
                  </wps:wsp>
                </a:graphicData>
              </a:graphic>
            </wp:anchor>
          </w:drawing>
        </mc:Choice>
        <mc:Fallback>
          <w:pict>
            <v:shape id="_x0000_s1035" type="#_x0000_t202" style="position:absolute;margin-left:57.pt;margin-top:809.30000000000007pt;width:51.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2023-4707</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723900</wp:posOffset>
              </wp:positionH>
              <wp:positionV relativeFrom="page">
                <wp:posOffset>10016490</wp:posOffset>
              </wp:positionV>
              <wp:extent cx="648970" cy="100330"/>
              <wp:wrapNone/>
              <wp:docPr id="13" name="Shape 13"/>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2023-4707</w:t>
                          </w:r>
                        </w:p>
                      </w:txbxContent>
                    </wps:txbx>
                    <wps:bodyPr wrap="none" lIns="0" tIns="0" rIns="0" bIns="0">
                      <a:spAutoFit/>
                    </wps:bodyPr>
                  </wps:wsp>
                </a:graphicData>
              </a:graphic>
            </wp:anchor>
          </w:drawing>
        </mc:Choice>
        <mc:Fallback>
          <w:pict>
            <v:shape id="_x0000_s1039" type="#_x0000_t202" style="position:absolute;margin-left:57.pt;margin-top:788.70000000000005pt;width:51.100000000000001pt;height:7.9000000000000004pt;z-index:-188744059;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2023-4707</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723900</wp:posOffset>
              </wp:positionH>
              <wp:positionV relativeFrom="page">
                <wp:posOffset>10016490</wp:posOffset>
              </wp:positionV>
              <wp:extent cx="648970" cy="100330"/>
              <wp:wrapNone/>
              <wp:docPr id="19" name="Shape 19"/>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2023-4707</w:t>
                          </w:r>
                        </w:p>
                      </w:txbxContent>
                    </wps:txbx>
                    <wps:bodyPr wrap="none" lIns="0" tIns="0" rIns="0" bIns="0">
                      <a:spAutoFit/>
                    </wps:bodyPr>
                  </wps:wsp>
                </a:graphicData>
              </a:graphic>
            </wp:anchor>
          </w:drawing>
        </mc:Choice>
        <mc:Fallback>
          <w:pict>
            <v:shape id="_x0000_s1045" type="#_x0000_t202" style="position:absolute;margin-left:57.pt;margin-top:788.70000000000005pt;width:51.100000000000001pt;height:7.9000000000000004pt;z-index:-188744053;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2023-4707</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3902710</wp:posOffset>
              </wp:positionH>
              <wp:positionV relativeFrom="page">
                <wp:posOffset>354330</wp:posOffset>
              </wp:positionV>
              <wp:extent cx="128270" cy="103505"/>
              <wp:wrapNone/>
              <wp:docPr id="11" name="Shape 11"/>
              <a:graphic xmlns:a="http://schemas.openxmlformats.org/drawingml/2006/main">
                <a:graphicData uri="http://schemas.microsoft.com/office/word/2010/wordprocessingShape">
                  <wps:wsp>
                    <wps:cNvSpPr txBox="1"/>
                    <wps:spPr>
                      <a:xfrm>
                        <a:ext cx="128270" cy="10350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7" type="#_x0000_t202" style="position:absolute;margin-left:307.30000000000001pt;margin-top:27.900000000000002pt;width:10.1pt;height:8.1500000000000004pt;z-index:-188744061;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3927475</wp:posOffset>
              </wp:positionH>
              <wp:positionV relativeFrom="page">
                <wp:posOffset>354330</wp:posOffset>
              </wp:positionV>
              <wp:extent cx="64135" cy="103505"/>
              <wp:wrapNone/>
              <wp:docPr id="15" name="Shape 15"/>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1" type="#_x0000_t202" style="position:absolute;margin-left:309.25pt;margin-top:27.900000000000002pt;width:5.0499999999999998pt;height:8.1500000000000004pt;z-index:-188744057;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3902710</wp:posOffset>
              </wp:positionH>
              <wp:positionV relativeFrom="page">
                <wp:posOffset>354330</wp:posOffset>
              </wp:positionV>
              <wp:extent cx="128270" cy="103505"/>
              <wp:wrapNone/>
              <wp:docPr id="17" name="Shape 17"/>
              <a:graphic xmlns:a="http://schemas.openxmlformats.org/drawingml/2006/main">
                <a:graphicData uri="http://schemas.microsoft.com/office/word/2010/wordprocessingShape">
                  <wps:wsp>
                    <wps:cNvSpPr txBox="1"/>
                    <wps:spPr>
                      <a:xfrm>
                        <a:ext cx="128270" cy="10350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3" type="#_x0000_t202" style="position:absolute;margin-left:307.30000000000001pt;margin-top:27.900000000000002pt;width:10.1pt;height:8.1500000000000004pt;z-index:-188744055;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1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360A3"/>
      <w:sz w:val="16"/>
      <w:szCs w:val="16"/>
      <w:u w:val="none"/>
    </w:rPr>
  </w:style>
  <w:style w:type="character" w:customStyle="1" w:styleId="CharStyle6">
    <w:name w:val="Основной текст (4)_"/>
    <w:basedOn w:val="DefaultParagraphFont"/>
    <w:link w:val="Style5"/>
    <w:rPr>
      <w:rFonts w:ascii="Times New Roman" w:eastAsia="Times New Roman" w:hAnsi="Times New Roman" w:cs="Times New Roman"/>
      <w:b/>
      <w:bCs/>
      <w:i w:val="0"/>
      <w:iCs w:val="0"/>
      <w:smallCaps w:val="0"/>
      <w:strike w:val="0"/>
      <w:color w:val="4360A3"/>
      <w:sz w:val="19"/>
      <w:szCs w:val="19"/>
      <w:u w:val="none"/>
    </w:rPr>
  </w:style>
  <w:style w:type="character" w:customStyle="1" w:styleId="CharStyle8">
    <w:name w:val="Основной текст (6)_"/>
    <w:basedOn w:val="DefaultParagraphFont"/>
    <w:link w:val="Style7"/>
    <w:rPr>
      <w:rFonts w:ascii="Times New Roman" w:eastAsia="Times New Roman" w:hAnsi="Times New Roman" w:cs="Times New Roman"/>
      <w:b w:val="0"/>
      <w:bCs w:val="0"/>
      <w:i w:val="0"/>
      <w:iCs w:val="0"/>
      <w:smallCaps w:val="0"/>
      <w:strike w:val="0"/>
      <w:sz w:val="30"/>
      <w:szCs w:val="30"/>
      <w:u w:val="single"/>
    </w:rPr>
  </w:style>
  <w:style w:type="character" w:customStyle="1" w:styleId="CharStyle12">
    <w:name w:val="Основной текст_"/>
    <w:basedOn w:val="DefaultParagraphFont"/>
    <w:link w:val="Style11"/>
    <w:rPr>
      <w:rFonts w:ascii="Times New Roman" w:eastAsia="Times New Roman" w:hAnsi="Times New Roman" w:cs="Times New Roman"/>
      <w:b w:val="0"/>
      <w:bCs w:val="0"/>
      <w:i w:val="0"/>
      <w:iCs w:val="0"/>
      <w:smallCaps w:val="0"/>
      <w:strike w:val="0"/>
      <w:sz w:val="26"/>
      <w:szCs w:val="26"/>
      <w:u w:val="none"/>
    </w:rPr>
  </w:style>
  <w:style w:type="character" w:customStyle="1" w:styleId="CharStyle14">
    <w:name w:val="Колонтитул (2)_"/>
    <w:basedOn w:val="DefaultParagraphFont"/>
    <w:link w:val="Style13"/>
    <w:rPr>
      <w:rFonts w:ascii="Times New Roman" w:eastAsia="Times New Roman" w:hAnsi="Times New Roman" w:cs="Times New Roman"/>
      <w:b w:val="0"/>
      <w:bCs w:val="0"/>
      <w:i w:val="0"/>
      <w:iCs w:val="0"/>
      <w:smallCaps w:val="0"/>
      <w:strike w:val="0"/>
      <w:sz w:val="20"/>
      <w:szCs w:val="20"/>
      <w:u w:val="none"/>
    </w:rPr>
  </w:style>
  <w:style w:type="character" w:customStyle="1" w:styleId="CharStyle17">
    <w:name w:val="Заголовок №2_"/>
    <w:basedOn w:val="DefaultParagraphFont"/>
    <w:link w:val="Style16"/>
    <w:rPr>
      <w:rFonts w:ascii="Times New Roman" w:eastAsia="Times New Roman" w:hAnsi="Times New Roman" w:cs="Times New Roman"/>
      <w:b/>
      <w:bCs/>
      <w:i w:val="0"/>
      <w:iCs w:val="0"/>
      <w:smallCaps w:val="0"/>
      <w:strike w:val="0"/>
      <w:sz w:val="26"/>
      <w:szCs w:val="26"/>
      <w:u w:val="none"/>
    </w:rPr>
  </w:style>
  <w:style w:type="character" w:customStyle="1" w:styleId="CharStyle21">
    <w:name w:val="Заголовок №1_"/>
    <w:basedOn w:val="DefaultParagraphFont"/>
    <w:link w:val="Style20"/>
    <w:rPr>
      <w:rFonts w:ascii="Arial" w:eastAsia="Arial" w:hAnsi="Arial" w:cs="Arial"/>
      <w:b w:val="0"/>
      <w:bCs w:val="0"/>
      <w:i w:val="0"/>
      <w:iCs w:val="0"/>
      <w:smallCaps w:val="0"/>
      <w:strike w:val="0"/>
      <w:sz w:val="38"/>
      <w:szCs w:val="38"/>
      <w:u w:val="none"/>
    </w:rPr>
  </w:style>
  <w:style w:type="character" w:customStyle="1" w:styleId="CharStyle26">
    <w:name w:val="Подпись к картинке_"/>
    <w:basedOn w:val="DefaultParagraphFont"/>
    <w:link w:val="Style25"/>
    <w:rPr>
      <w:rFonts w:ascii="Times New Roman" w:eastAsia="Times New Roman" w:hAnsi="Times New Roman" w:cs="Times New Roman"/>
      <w:b w:val="0"/>
      <w:bCs w:val="0"/>
      <w:i w:val="0"/>
      <w:iCs w:val="0"/>
      <w:smallCaps w:val="0"/>
      <w:strike w:val="0"/>
      <w:color w:val="242424"/>
      <w:sz w:val="12"/>
      <w:szCs w:val="12"/>
      <w:u w:val="none"/>
    </w:rPr>
  </w:style>
  <w:style w:type="character" w:customStyle="1" w:styleId="CharStyle30">
    <w:name w:val="Основной текст (2)_"/>
    <w:basedOn w:val="DefaultParagraphFont"/>
    <w:link w:val="Style29"/>
    <w:rPr>
      <w:rFonts w:ascii="Arial" w:eastAsia="Arial" w:hAnsi="Arial" w:cs="Arial"/>
      <w:b w:val="0"/>
      <w:bCs w:val="0"/>
      <w:i w:val="0"/>
      <w:iCs w:val="0"/>
      <w:smallCaps w:val="0"/>
      <w:strike w:val="0"/>
      <w:color w:val="474747"/>
      <w:sz w:val="12"/>
      <w:szCs w:val="12"/>
      <w:u w:val="none"/>
    </w:rPr>
  </w:style>
  <w:style w:type="character" w:customStyle="1" w:styleId="CharStyle35">
    <w:name w:val="Основной текст (5)_"/>
    <w:basedOn w:val="DefaultParagraphFont"/>
    <w:link w:val="Style34"/>
    <w:rPr>
      <w:rFonts w:ascii="Times New Roman" w:eastAsia="Times New Roman" w:hAnsi="Times New Roman" w:cs="Times New Roman"/>
      <w:b/>
      <w:bCs/>
      <w:i w:val="0"/>
      <w:iCs w:val="0"/>
      <w:smallCaps w:val="0"/>
      <w:strike w:val="0"/>
      <w:color w:val="E9E9E9"/>
      <w:sz w:val="12"/>
      <w:szCs w:val="12"/>
      <w:u w:val="none"/>
    </w:rPr>
  </w:style>
  <w:style w:type="paragraph" w:customStyle="1" w:styleId="Style2">
    <w:name w:val="Основной текст (3)"/>
    <w:basedOn w:val="Normal"/>
    <w:link w:val="CharStyle3"/>
    <w:pPr>
      <w:widowControl w:val="0"/>
      <w:shd w:val="clear" w:color="auto" w:fill="auto"/>
      <w:spacing w:after="120" w:line="276" w:lineRule="auto"/>
      <w:jc w:val="center"/>
    </w:pPr>
    <w:rPr>
      <w:rFonts w:ascii="Times New Roman" w:eastAsia="Times New Roman" w:hAnsi="Times New Roman" w:cs="Times New Roman"/>
      <w:b w:val="0"/>
      <w:bCs w:val="0"/>
      <w:i w:val="0"/>
      <w:iCs w:val="0"/>
      <w:smallCaps w:val="0"/>
      <w:strike w:val="0"/>
      <w:color w:val="4360A3"/>
      <w:sz w:val="16"/>
      <w:szCs w:val="16"/>
      <w:u w:val="none"/>
    </w:rPr>
  </w:style>
  <w:style w:type="paragraph" w:customStyle="1" w:styleId="Style5">
    <w:name w:val="Основной текст (4)"/>
    <w:basedOn w:val="Normal"/>
    <w:link w:val="CharStyle6"/>
    <w:pPr>
      <w:widowControl w:val="0"/>
      <w:shd w:val="clear" w:color="auto" w:fill="auto"/>
      <w:spacing w:after="240" w:line="257" w:lineRule="auto"/>
      <w:jc w:val="center"/>
    </w:pPr>
    <w:rPr>
      <w:rFonts w:ascii="Times New Roman" w:eastAsia="Times New Roman" w:hAnsi="Times New Roman" w:cs="Times New Roman"/>
      <w:b/>
      <w:bCs/>
      <w:i w:val="0"/>
      <w:iCs w:val="0"/>
      <w:smallCaps w:val="0"/>
      <w:strike w:val="0"/>
      <w:color w:val="4360A3"/>
      <w:sz w:val="19"/>
      <w:szCs w:val="19"/>
      <w:u w:val="none"/>
    </w:rPr>
  </w:style>
  <w:style w:type="paragraph" w:customStyle="1" w:styleId="Style7">
    <w:name w:val="Основной текст (6)"/>
    <w:basedOn w:val="Normal"/>
    <w:link w:val="CharStyle8"/>
    <w:pPr>
      <w:widowControl w:val="0"/>
      <w:shd w:val="clear" w:color="auto" w:fill="auto"/>
      <w:spacing w:after="340"/>
      <w:jc w:val="center"/>
    </w:pPr>
    <w:rPr>
      <w:rFonts w:ascii="Times New Roman" w:eastAsia="Times New Roman" w:hAnsi="Times New Roman" w:cs="Times New Roman"/>
      <w:b w:val="0"/>
      <w:bCs w:val="0"/>
      <w:i w:val="0"/>
      <w:iCs w:val="0"/>
      <w:smallCaps w:val="0"/>
      <w:strike w:val="0"/>
      <w:sz w:val="30"/>
      <w:szCs w:val="30"/>
      <w:u w:val="single"/>
    </w:rPr>
  </w:style>
  <w:style w:type="paragraph" w:customStyle="1" w:styleId="Style11">
    <w:name w:val="Основной текст"/>
    <w:basedOn w:val="Normal"/>
    <w:link w:val="CharStyle12"/>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3">
    <w:name w:val="Колонтитул (2)"/>
    <w:basedOn w:val="Normal"/>
    <w:link w:val="CharStyle14"/>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6">
    <w:name w:val="Заголовок №2"/>
    <w:basedOn w:val="Normal"/>
    <w:link w:val="CharStyle17"/>
    <w:pPr>
      <w:widowControl w:val="0"/>
      <w:shd w:val="clear" w:color="auto" w:fill="auto"/>
      <w:spacing w:after="130"/>
      <w:ind w:left="1380"/>
      <w:jc w:val="right"/>
      <w:outlineLvl w:val="1"/>
    </w:pPr>
    <w:rPr>
      <w:rFonts w:ascii="Times New Roman" w:eastAsia="Times New Roman" w:hAnsi="Times New Roman" w:cs="Times New Roman"/>
      <w:b/>
      <w:bCs/>
      <w:i w:val="0"/>
      <w:iCs w:val="0"/>
      <w:smallCaps w:val="0"/>
      <w:strike w:val="0"/>
      <w:sz w:val="26"/>
      <w:szCs w:val="26"/>
      <w:u w:val="none"/>
    </w:rPr>
  </w:style>
  <w:style w:type="paragraph" w:customStyle="1" w:styleId="Style20">
    <w:name w:val="Заголовок №1"/>
    <w:basedOn w:val="Normal"/>
    <w:link w:val="CharStyle21"/>
    <w:pPr>
      <w:widowControl w:val="0"/>
      <w:shd w:val="clear" w:color="auto" w:fill="auto"/>
      <w:spacing w:after="260"/>
      <w:outlineLvl w:val="0"/>
    </w:pPr>
    <w:rPr>
      <w:rFonts w:ascii="Arial" w:eastAsia="Arial" w:hAnsi="Arial" w:cs="Arial"/>
      <w:b w:val="0"/>
      <w:bCs w:val="0"/>
      <w:i w:val="0"/>
      <w:iCs w:val="0"/>
      <w:smallCaps w:val="0"/>
      <w:strike w:val="0"/>
      <w:sz w:val="38"/>
      <w:szCs w:val="38"/>
      <w:u w:val="none"/>
    </w:rPr>
  </w:style>
  <w:style w:type="paragraph" w:customStyle="1" w:styleId="Style25">
    <w:name w:val="Подпись к картинке"/>
    <w:basedOn w:val="Normal"/>
    <w:link w:val="CharStyle26"/>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42424"/>
      <w:sz w:val="12"/>
      <w:szCs w:val="12"/>
      <w:u w:val="none"/>
    </w:rPr>
  </w:style>
  <w:style w:type="paragraph" w:customStyle="1" w:styleId="Style29">
    <w:name w:val="Основной текст (2)"/>
    <w:basedOn w:val="Normal"/>
    <w:link w:val="CharStyle30"/>
    <w:pPr>
      <w:widowControl w:val="0"/>
      <w:shd w:val="clear" w:color="auto" w:fill="auto"/>
      <w:ind w:left="4060"/>
    </w:pPr>
    <w:rPr>
      <w:rFonts w:ascii="Arial" w:eastAsia="Arial" w:hAnsi="Arial" w:cs="Arial"/>
      <w:b w:val="0"/>
      <w:bCs w:val="0"/>
      <w:i w:val="0"/>
      <w:iCs w:val="0"/>
      <w:smallCaps w:val="0"/>
      <w:strike w:val="0"/>
      <w:color w:val="474747"/>
      <w:sz w:val="12"/>
      <w:szCs w:val="12"/>
      <w:u w:val="none"/>
    </w:rPr>
  </w:style>
  <w:style w:type="paragraph" w:customStyle="1" w:styleId="Style34">
    <w:name w:val="Основной текст (5)"/>
    <w:basedOn w:val="Normal"/>
    <w:link w:val="CharStyle35"/>
    <w:pPr>
      <w:widowControl w:val="0"/>
      <w:shd w:val="clear" w:color="auto" w:fill="auto"/>
      <w:spacing w:after="100"/>
      <w:ind w:left="4820"/>
    </w:pPr>
    <w:rPr>
      <w:rFonts w:ascii="Times New Roman" w:eastAsia="Times New Roman" w:hAnsi="Times New Roman" w:cs="Times New Roman"/>
      <w:b/>
      <w:bCs/>
      <w:i w:val="0"/>
      <w:iCs w:val="0"/>
      <w:smallCaps w:val="0"/>
      <w:strike w:val="0"/>
      <w:color w:val="E9E9E9"/>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header" Target="header1.xml"/><Relationship Id="rId9" Type="http://schemas.openxmlformats.org/officeDocument/2006/relationships/footer" Target="footer2.xml"/><Relationship Id="rId10" Type="http://schemas.openxmlformats.org/officeDocument/2006/relationships/header" Target="header2.xml"/><Relationship Id="rId11" Type="http://schemas.openxmlformats.org/officeDocument/2006/relationships/footer" Target="footer3.xml"/><Relationship Id="rId12" Type="http://schemas.openxmlformats.org/officeDocument/2006/relationships/header" Target="header3.xml"/><Relationship Id="rId13" Type="http://schemas.openxmlformats.org/officeDocument/2006/relationships/footer" Target="footer4.xml"/><Relationship Id="rId14" Type="http://schemas.openxmlformats.org/officeDocument/2006/relationships/image" Target="media/image2.jpeg"/><Relationship Id="rId15" Type="http://schemas.openxmlformats.org/officeDocument/2006/relationships/image" Target="media/image2.jpeg" TargetMode="External"/><Relationship Id="rId16" Type="http://schemas.openxmlformats.org/officeDocument/2006/relationships/image" Target="media/image3.jpeg"/><Relationship Id="rId17" Type="http://schemas.openxmlformats.org/officeDocument/2006/relationships/image" Target="media/image3.jpeg" TargetMode="External"/><Relationship Id="rId18" Type="http://schemas.openxmlformats.org/officeDocument/2006/relationships/image" Target="media/image4.jpeg"/><Relationship Id="rId19" Type="http://schemas.openxmlformats.org/officeDocument/2006/relationships/image" Target="media/image4.jpeg" TargetMode="External"/></Relationships>
</file>

<file path=docProps/core.xml><?xml version="1.0" encoding="utf-8"?>
<cp:coreProperties xmlns:cp="http://schemas.openxmlformats.org/package/2006/metadata/core-properties" xmlns:dc="http://purl.org/dc/elements/1.1/">
  <dc:title>&lt;Письмо&gt; ФАУ "Главгосэкспертиза России" от 30.11.2021 N 08-05-1/18624-НБ&lt;О достоверности определения сметной стоимости по объекту&gt;</dc:title>
  <dc:subject/>
  <dc:creator/>
  <cp:keywords/>
</cp:coreProperties>
</file>