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310" w:wrap="none" w:hAnchor="page" w:x="1453" w:y="1110"/>
        <w:widowControl w:val="0"/>
        <w:shd w:val="clear" w:color="auto" w:fill="auto"/>
        <w:bidi w:val="0"/>
        <w:spacing w:before="0" w:after="12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framePr w:w="3542" w:h="1310" w:wrap="none" w:hAnchor="page" w:x="1453" w:y="111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framePr w:w="3216" w:h="1190" w:wrap="none" w:hAnchor="page" w:x="1491" w:y="2617"/>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5"/>
        <w:keepNext w:val="0"/>
        <w:keepLines w:val="0"/>
        <w:framePr w:w="3216" w:h="1190" w:wrap="none" w:hAnchor="page" w:x="1491" w:y="2617"/>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7"/>
        <w:keepNext w:val="0"/>
        <w:keepLines w:val="0"/>
        <w:framePr w:w="3216" w:h="1190" w:wrap="none" w:hAnchor="page" w:x="1491" w:y="2617"/>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7"/>
        <w:keepNext w:val="0"/>
        <w:keepLines w:val="0"/>
        <w:framePr w:w="3216" w:h="1190" w:wrap="none" w:hAnchor="page" w:x="1491" w:y="2617"/>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p>
      <w:pPr>
        <w:pStyle w:val="Style10"/>
        <w:keepNext w:val="0"/>
        <w:keepLines w:val="0"/>
        <w:framePr w:w="4877" w:h="3653" w:wrap="none" w:hAnchor="page" w:x="6406" w:y="87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"Городская больница скорой медицинской помощи" в городе Ростове-на-Дону</w:t>
      </w:r>
    </w:p>
    <w:p>
      <w:pPr>
        <w:pStyle w:val="Style10"/>
        <w:keepNext w:val="0"/>
        <w:keepLines w:val="0"/>
        <w:framePr w:w="4877" w:h="3653" w:wrap="none" w:hAnchor="page" w:x="6406" w:y="875"/>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ул. Бодрая, 88/35, г. Ростов-на-Дону, 344068 дЬмт|ко81оу@уапс1ех.1Т1; ЬодасЬеVап^оп@Ьк.^и</w:t>
      </w:r>
    </w:p>
    <w:p>
      <w:pPr>
        <w:pStyle w:val="Style10"/>
        <w:keepNext w:val="0"/>
        <w:keepLines w:val="0"/>
        <w:framePr w:w="4877" w:h="3653" w:wrap="none" w:hAnchor="page" w:x="6406" w:y="87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"Медиком"</w:t>
      </w:r>
    </w:p>
    <w:p>
      <w:pPr>
        <w:pStyle w:val="Style10"/>
        <w:keepNext w:val="0"/>
        <w:keepLines w:val="0"/>
        <w:framePr w:w="4877" w:h="3653" w:wrap="none" w:hAnchor="page" w:x="6406" w:y="87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Нагорная, д.31, к.6, кв.13, г. Москва, 117186</w:t>
      </w:r>
    </w:p>
    <w:p>
      <w:pPr>
        <w:pStyle w:val="Style10"/>
        <w:keepNext w:val="0"/>
        <w:keepLines w:val="0"/>
        <w:framePr w:w="4877" w:h="3653" w:wrap="none" w:hAnchor="page" w:x="6406" w:y="875"/>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пп@теШсот77.ги, теШсот@теШсот77.ги</w:t>
      </w:r>
    </w:p>
    <w:p>
      <w:pPr>
        <w:pStyle w:val="Style10"/>
        <w:keepNext w:val="0"/>
        <w:keepLines w:val="0"/>
        <w:framePr w:w="4877" w:h="3653" w:wrap="none" w:hAnchor="page" w:x="6406" w:y="87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«ЕЭТП»</w:t>
      </w:r>
    </w:p>
    <w:p>
      <w:pPr>
        <w:pStyle w:val="Style10"/>
        <w:keepNext w:val="0"/>
        <w:keepLines w:val="0"/>
        <w:framePr w:w="4877" w:h="3653" w:wrap="none" w:hAnchor="page" w:x="6406" w:y="875"/>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ко@гозе11огд.ш</w:t>
      </w:r>
    </w:p>
    <w:p>
      <w:pPr>
        <w:pStyle w:val="Style12"/>
        <w:keepNext w:val="0"/>
        <w:keepLines w:val="0"/>
        <w:framePr w:w="4061" w:h="254" w:wrap="none" w:hAnchor="page" w:x="1141" w:y="411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pStyle w:val="Style10"/>
        <w:keepNext w:val="0"/>
        <w:keepLines w:val="0"/>
        <w:framePr w:w="3811" w:h="840" w:wrap="none" w:hAnchor="page" w:x="4333" w:y="5286"/>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№061/06/42-3963/2023</w:t>
      </w:r>
    </w:p>
    <w:p>
      <w:pPr>
        <w:pStyle w:val="Style10"/>
        <w:keepNext w:val="0"/>
        <w:keepLines w:val="0"/>
        <w:framePr w:w="1109" w:h="341" w:wrap="none" w:hAnchor="page" w:x="1117" w:y="613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03.11.2023</w:t>
      </w:r>
    </w:p>
    <w:p>
      <w:pPr>
        <w:pStyle w:val="Style10"/>
        <w:keepNext w:val="0"/>
        <w:keepLines w:val="0"/>
        <w:framePr w:w="1853" w:h="341" w:wrap="none" w:hAnchor="page" w:x="8667" w:y="613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w:t>
      </w:r>
    </w:p>
    <w:p>
      <w:pPr>
        <w:pStyle w:val="Style10"/>
        <w:keepNext w:val="0"/>
        <w:keepLines w:val="0"/>
        <w:framePr w:w="10258" w:h="4728" w:wrap="none" w:hAnchor="page" w:x="1107" w:y="6668"/>
        <w:widowControl w:val="0"/>
        <w:shd w:val="clear" w:color="auto" w:fill="auto"/>
        <w:tabs>
          <w:tab w:pos="81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w:t>
        <w:tab/>
        <w:t>М.А. Благодарев,</w:t>
      </w:r>
    </w:p>
    <w:p>
      <w:pPr>
        <w:pStyle w:val="Style10"/>
        <w:keepNext w:val="0"/>
        <w:keepLines w:val="0"/>
        <w:framePr w:w="10258" w:h="4728" w:wrap="none" w:hAnchor="page" w:x="1107" w:y="6668"/>
        <w:widowControl w:val="0"/>
        <w:shd w:val="clear" w:color="auto" w:fill="auto"/>
        <w:tabs>
          <w:tab w:pos="812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framePr w:w="10258" w:h="4728" w:wrap="none" w:hAnchor="page" w:x="1107" w:y="6668"/>
        <w:widowControl w:val="0"/>
        <w:shd w:val="clear" w:color="auto" w:fill="auto"/>
        <w:bidi w:val="0"/>
        <w:spacing w:before="0" w:after="200" w:line="240" w:lineRule="auto"/>
        <w:ind w:left="0" w:right="0" w:firstLine="8320"/>
        <w:jc w:val="both"/>
      </w:pPr>
      <w:r>
        <w:rPr>
          <w:color w:val="000000"/>
          <w:spacing w:val="0"/>
          <w:w w:val="100"/>
          <w:position w:val="0"/>
          <w:sz w:val="24"/>
          <w:szCs w:val="24"/>
          <w:shd w:val="clear" w:color="auto" w:fill="auto"/>
          <w:lang w:val="ru-RU" w:eastAsia="ru-RU" w:bidi="ru-RU"/>
        </w:rPr>
        <w:t>В.Д. Кириленко, рассмотрев дело № 061/06/42-3963/2023 по жалобе ООО «Медиком» (далее — Заявитель) о нарушении БУ РО «Городская больница скорой медицинской помощи» в городе Ростове-на-Дону (далее - Заказчик) при проведении при проведении электронного аукциона №0358300079423000452 «Приобретение медицинского оборудования»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Богачева А.С. (доверенность от 09.01.2023), в отсутствие представителя Заявителя, уведомлен надлежащим образом,</w:t>
      </w:r>
    </w:p>
    <w:p>
      <w:pPr>
        <w:pStyle w:val="Style10"/>
        <w:keepNext w:val="0"/>
        <w:keepLines w:val="0"/>
        <w:framePr w:w="10258" w:h="4728" w:wrap="none" w:hAnchor="page" w:x="1107" w:y="6668"/>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при осуществлении закупки. Так, Заявитель указал, что описание объекта закупки не соответствует положениям Закона.</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представил возражения, с доводом жалобы не согласился.</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 1, 3 ст. 99 Закона, в ходе рассмотрения дела установлено следующее:</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\\л\л\\хакиркгдо\\1Т1 19.10.2023, согласно которому:</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- 30.10.2023 08:00 (МСК);</w:t>
      </w:r>
    </w:p>
    <w:p>
      <w:pPr>
        <w:pStyle w:val="Style10"/>
        <w:keepNext w:val="0"/>
        <w:keepLines w:val="0"/>
        <w:framePr w:w="10243" w:h="2827" w:wrap="none" w:hAnchor="page" w:x="1117" w:y="11564"/>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1 120 036,15 рублей.</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975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w:drawing>
          <wp:anchor distT="466090" distB="0" distL="3175" distR="0" simplePos="0" relativeHeight="62914691" behindDoc="1" locked="0" layoutInCell="1" allowOverlap="1">
            <wp:simplePos x="0" y="0"/>
            <wp:positionH relativeFrom="page">
              <wp:posOffset>727075</wp:posOffset>
            </wp:positionH>
            <wp:positionV relativeFrom="margin">
              <wp:posOffset>3075305</wp:posOffset>
            </wp:positionV>
            <wp:extent cx="2597150" cy="17653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597150" cy="176530"/>
                    </a:xfrm>
                    <a:prstGeom prst="rect"/>
                  </pic:spPr>
                </pic:pic>
              </a:graphicData>
            </a:graphic>
          </wp:anchor>
        </w:drawing>
      </w:r>
      <w:r>
        <w:drawing>
          <wp:anchor distT="0" distB="0" distL="0" distR="0" simplePos="0" relativeHeight="62914692" behindDoc="1" locked="0" layoutInCell="1" allowOverlap="1">
            <wp:simplePos x="0" y="0"/>
            <wp:positionH relativeFrom="page">
              <wp:posOffset>714375</wp:posOffset>
            </wp:positionH>
            <wp:positionV relativeFrom="margin">
              <wp:posOffset>9253855</wp:posOffset>
            </wp:positionV>
            <wp:extent cx="1517650"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1517650" cy="2927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erReference w:type="default" r:id="rId11"/>
          <w:footnotePr>
            <w:pos w:val="pageBottom"/>
            <w:numFmt w:val="decimal"/>
            <w:numRestart w:val="continuous"/>
          </w:footnotePr>
          <w:pgSz w:w="11900" w:h="16840"/>
          <w:pgMar w:top="294" w:right="536" w:bottom="1216" w:left="1106"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Согласно доводу жалобы, из-за характеристик, установленных в описании объекта закупки, соответствует товар только одного производителя ООО «Петр Телегин» (Россия), что ограничивает конкуренцию.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ч.2 ст.8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п.1,2 ч.1, ч.2 ст.33, ч.2 ст.42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возражения на жалобу, согласно которым описание объекта закупки разработано в соответствии со спецификой деятельности и потребностями Заказчика, которому соответствуют товары двух производителей: ООО «Петр Телегин» (Россия), ООО «АКСМА» (Россия).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Дополнительно стоит отметить, что на участие в закупке поступило две заявки, в которых предложен к поставке товар производителей ООО «Петр Телегин» (Россия), ООО «АКСМА» (Россия). Данный факт указывает на то, что технические характеристики, установленные Заказчиком в Извещении, не ограничивают потенциальных участников закупки.</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Заявитель указывает, что Заказчик при формировании описания объекта закупки сознательно выбрал позицию КТРУ 26.60.12.129-00000043 без технических характеристик вместо позиции КТРУ 26.60.12.129-00000202, а также в извещении установлены требования, исключающие возможность поставки товара, поскольку ни один товар не соответствует указанной Заказчиком совокупности «код КТРУ + код вида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пунктам 5, 15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w:t>
      </w:r>
      <w:r>
        <w:rPr>
          <w:color w:val="000000"/>
          <w:spacing w:val="0"/>
          <w:w w:val="100"/>
          <w:position w:val="0"/>
          <w:sz w:val="24"/>
          <w:szCs w:val="24"/>
          <w:shd w:val="clear" w:color="auto" w:fill="auto"/>
          <w:lang w:val="ru-RU" w:eastAsia="ru-RU" w:bidi="ru-RU"/>
        </w:rPr>
        <w:t>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ч.2 ст.42 Закона установлено, что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указанной нормы Закона Правительством Российской Федерации принято Постановление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п.4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"г" и "е" - "з" пункта 10 Правил.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законодательство не устанавливает ограничений в выборе позиции КТРУ при формировании извещения о проведении электронного аукциона, Заказчик вправе установить такую позицию КТРУ, которая соответствует требуемому к поставке товару и в большей степени удовлетворяет потребности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пп. «д» п.10 Правил формирования каталога, товаров, работ, услуг, утвержденных Постановление Правительства РФ от 08.02.2017 №145, в справочную информацию позиций каталога (раздел «Справочная информация» вкладки «Общая информация» позиции каталога в единой информационной системе в сфере закупок) по медицинским изделиям включается информация в соответствии с номенклатурной классификацией медицинских изделий, утвержденной приказом Минздрава России от 06.06.2012 ^ 4н. Так, в позиции каталога указываются вид медицинского изделия в числовом выражении (код), наименование вида медицинского изделия, а также классификационные признаки вида медицинского изделия, указываемые в зависимости от назначения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указанная справочная информация не образует описания объекта закупки в понимании ст.33 Закона и не включена в перечень информации, подлежащей в соответствии с п.4 Правил использования каталога обязательному использованию заказчиком при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Аналогичную правовую позицию изложило Министерство финансов Российской Федерации в Письме от 04.09.2020 ^ 24-06-08/77872, Письме от 23.03.2020 №24-06-07/22512,</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Письме от 21.01.2020 №24-06-07/2815.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Следует отметить, что номенклатурная классификация медицинских изделий по видам (далее - Классификация) предназначена для идентификации медицинских изделий в целях государственной регистрации и обеспечения достоверности, сопоставимости, автоматизированной обработки информации в целях осуществления сотрудничества и обмена данными, в том числе на международном уровне, между заинтересованными сторонами, такими как законодательные органы, производители, поставщики и конечные пользователи, а также в целях обеспечения мониторинга безопасности медицинских изделий.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Классификация содержит сведения о видах медицинских изделий и предусматривает использование специализированного программного обеспечения, позволяющего производить поиск вида медицинского изделия по классификационным признакам, или по их совокупности, по полному наименованию вида, по части наименования или по кодам вида.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Классификации используются кодовые обозначения и термины, адаптированные к общепринятой международной терминологии с учетом терминологии национальных стандартов, классификаторов, других нормативных документов, позволяющие идентифицировать и группировать медицинские изделия по видам с учетом наименований и описаний видов в регуляторных и иных целях.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Данные сведения изложены в Письме Минздрава России от 12.04.2013 №2041548/25-3 «По вопросу об определении числового обозначения (шестизначного номера) и вида медицинских изделий при номенклатурной классификации медицинских изделий», из содержания которого однозначно следует, что назначение Классификации заключается в идентификации медицинского изделия при его государственной регистрации. Из этого же следует, что код вида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 является качественной, функциональной, технологической и эксплуатационной характеристикой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 является документом (способом), позволяющим удостовериться в соответствии товара требованиям законодательства РФ - поскольку таковым документом является регистрационное удостоверение.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Извещении установил позицию КТРУ 26.60.12.129-00000043 «Устройство для неинвазивного измерения параметров сердечно-сосудистой системы». Поскольку указанный код КТРУ содержится в перечне Постановления №878, Заказчиком в Извещении установлено ограничение допуска в соответствии с Постановлением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пояснил, что код позиции КТРУ 26.60.12.129-00000202 «Регистратор амбулаторный для мониторинга артериального давления» не подходит, так как данный товар осуществляет в течение 24-часов регистрацию артериального давления, тогда как к поставке необходим аппарат, который предназначен для измерения множества сердечно</w:t>
        <w:softHyphen/>
        <w:t>сосудистых параметров.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установила, что Заказчик в Извещении не указал код вида медицинского изделия, требуемого к поставке, а лишь установил код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несоответствие кода вида медицинского изделия не является основанием для отклонения заявки участника закупки, поскольку Заказчик при рассмотрении заявок участников закупки определяет соответствие предлагаемого к поставке товара требованиям Извещения, а не соответствие коду вида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Позиция антимонопольного органа поддержана Арбитражным судом Ростовской области в решении от 18.01.2022 по делу №А53-30379/2021.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в составе жалобы Заявителем фактически оспаривается потребность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Ростовское УФАС России в силу возложенных полномочий в соответствии с Законом, Административным регламентом, положением о территориальном органе Федеральной антимонопольной службы, утвержденным Приказом Федеральной антимонопольной службы от 23 июля 2015 г. № 649/15, не осуществляет контроль за хозяйственной деятельностью заказчиков, а также не дают ей оценку.</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0"/>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Заявитель в жалобе указал, что Заказчиком неправомерно осуществлено определение начальной (максимальной) цены контракта.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ч.3 ст.99 Закона, контрольный орган в сфере закупок не наделен полномочиями по контролю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п.3 ч.8 ст.99 Закона органы внутреннего государственного (муниципального) финансового контроля осуществляют контроль (за исключением контроля, предусмотренного ч.10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При указанных обстоятельствах контроль за определением и обоснованием начальной (максимальной) цены контракта не относится к компетенции Ростовского УФАС России, в связи с чем, указанный довод Заявителя не подлежит рассмотрению.</w:t>
      </w:r>
    </w:p>
    <w:p>
      <w:pPr>
        <w:pStyle w:val="Style10"/>
        <w:keepNext w:val="0"/>
        <w:keepLines w:val="0"/>
        <w:widowControl w:val="0"/>
        <w:numPr>
          <w:ilvl w:val="0"/>
          <w:numId w:val="3"/>
        </w:numPr>
        <w:shd w:val="clear" w:color="auto" w:fill="auto"/>
        <w:tabs>
          <w:tab w:pos="176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ходе рассмотрения дела Комиссией установлено следующее.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п.16 ч.1 ст.42 Закона при осуществлении закупки путем проведения открытых конкурентных способов </w:t>
      </w:r>
      <w:r>
        <w:rPr>
          <w:color w:val="000000"/>
          <w:spacing w:val="0"/>
          <w:w w:val="100"/>
          <w:position w:val="0"/>
          <w:sz w:val="24"/>
          <w:szCs w:val="24"/>
          <w:u w:val="single"/>
          <w:shd w:val="clear" w:color="auto" w:fill="auto"/>
          <w:lang w:val="ru-RU" w:eastAsia="ru-RU" w:bidi="ru-RU"/>
        </w:rPr>
        <w:t>заказчик формирует с использованием единой информационной системы,</w:t>
      </w:r>
      <w:r>
        <w:rPr>
          <w:color w:val="000000"/>
          <w:spacing w:val="0"/>
          <w:w w:val="100"/>
          <w:position w:val="0"/>
          <w:sz w:val="24"/>
          <w:szCs w:val="24"/>
          <w:shd w:val="clear" w:color="auto" w:fill="auto"/>
          <w:lang w:val="ru-RU" w:eastAsia="ru-RU" w:bidi="ru-RU"/>
        </w:rPr>
        <w:t xml:space="preserve"> подписывает усиленной электронной подписью лица, имеющего право действовать от имени заказчика, и </w:t>
      </w:r>
      <w:r>
        <w:rPr>
          <w:color w:val="000000"/>
          <w:spacing w:val="0"/>
          <w:w w:val="100"/>
          <w:position w:val="0"/>
          <w:sz w:val="24"/>
          <w:szCs w:val="24"/>
          <w:u w:val="single"/>
          <w:shd w:val="clear" w:color="auto" w:fill="auto"/>
          <w:lang w:val="ru-RU" w:eastAsia="ru-RU" w:bidi="ru-RU"/>
        </w:rPr>
        <w:t>размещает в единой информационной системе извещение об осуществлении закупки, содержащее следующую информацию</w:t>
      </w:r>
      <w:r>
        <w:rPr>
          <w:color w:val="000000"/>
          <w:spacing w:val="0"/>
          <w:w w:val="100"/>
          <w:position w:val="0"/>
          <w:sz w:val="24"/>
          <w:szCs w:val="24"/>
          <w:shd w:val="clear" w:color="auto" w:fill="auto"/>
          <w:lang w:val="ru-RU" w:eastAsia="ru-RU" w:bidi="ru-RU"/>
        </w:rPr>
        <w:t xml:space="preserve">: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r>
        <w:rPr>
          <w:color w:val="0000FF"/>
          <w:spacing w:val="0"/>
          <w:w w:val="100"/>
          <w:position w:val="0"/>
          <w:sz w:val="24"/>
          <w:szCs w:val="24"/>
          <w:shd w:val="clear" w:color="auto" w:fill="auto"/>
          <w:lang w:val="ru-RU" w:eastAsia="ru-RU" w:bidi="ru-RU"/>
        </w:rPr>
        <w:t xml:space="preserve">статьей 44 </w:t>
      </w:r>
      <w:r>
        <w:rPr>
          <w:color w:val="000000"/>
          <w:spacing w:val="0"/>
          <w:w w:val="100"/>
          <w:position w:val="0"/>
          <w:sz w:val="24"/>
          <w:szCs w:val="24"/>
          <w:shd w:val="clear" w:color="auto" w:fill="auto"/>
          <w:lang w:val="ru-RU" w:eastAsia="ru-RU" w:bidi="ru-RU"/>
        </w:rPr>
        <w:t xml:space="preserve">настоящего Федерального закона), </w:t>
      </w:r>
      <w:r>
        <w:rPr>
          <w:color w:val="000000"/>
          <w:spacing w:val="0"/>
          <w:w w:val="100"/>
          <w:position w:val="0"/>
          <w:sz w:val="24"/>
          <w:szCs w:val="24"/>
          <w:u w:val="single"/>
          <w:shd w:val="clear" w:color="auto" w:fill="auto"/>
          <w:lang w:val="ru-RU" w:eastAsia="ru-RU" w:bidi="ru-RU"/>
        </w:rPr>
        <w:t>реквизиты счета,</w:t>
      </w:r>
      <w:r>
        <w:rPr>
          <w:color w:val="000000"/>
          <w:spacing w:val="0"/>
          <w:w w:val="100"/>
          <w:position w:val="0"/>
          <w:sz w:val="24"/>
          <w:szCs w:val="24"/>
          <w:shd w:val="clear" w:color="auto" w:fill="auto"/>
          <w:lang w:val="ru-RU" w:eastAsia="ru-RU" w:bidi="ru-RU"/>
        </w:rPr>
        <w:t xml:space="preserve">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r>
        <w:rPr>
          <w:color w:val="0000FF"/>
          <w:spacing w:val="0"/>
          <w:w w:val="100"/>
          <w:position w:val="0"/>
          <w:sz w:val="24"/>
          <w:szCs w:val="24"/>
          <w:shd w:val="clear" w:color="auto" w:fill="auto"/>
          <w:lang w:val="ru-RU" w:eastAsia="ru-RU" w:bidi="ru-RU"/>
        </w:rPr>
        <w:t xml:space="preserve">частью 13 статьи 44 </w:t>
      </w:r>
      <w:r>
        <w:rPr>
          <w:color w:val="000000"/>
          <w:spacing w:val="0"/>
          <w:w w:val="100"/>
          <w:position w:val="0"/>
          <w:sz w:val="24"/>
          <w:szCs w:val="24"/>
          <w:shd w:val="clear" w:color="auto" w:fill="auto"/>
          <w:lang w:val="ru-RU" w:eastAsia="ru-RU" w:bidi="ru-RU"/>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ЕИС размещенное извещение об осуществлении закупки не содержит информацию о реквизитах счета, на котором в соответствии с законодательством Российской Федерации учитываются операции со средствами, поступающими заказчику (</w:t>
      </w:r>
      <w:r>
        <w:rPr>
          <w:i/>
          <w:iCs/>
          <w:color w:val="000000"/>
          <w:spacing w:val="0"/>
          <w:w w:val="100"/>
          <w:position w:val="0"/>
          <w:sz w:val="24"/>
          <w:szCs w:val="24"/>
          <w:shd w:val="clear" w:color="auto" w:fill="auto"/>
          <w:lang w:val="ru-RU" w:eastAsia="ru-RU" w:bidi="ru-RU"/>
        </w:rPr>
        <w:t>ЕИС — «Номер расчётного счёта» 00000000000000000000</w:t>
      </w:r>
      <w:r>
        <w:rPr>
          <w:color w:val="000000"/>
          <w:spacing w:val="0"/>
          <w:w w:val="100"/>
          <w:position w:val="0"/>
          <w:sz w:val="24"/>
          <w:szCs w:val="24"/>
          <w:shd w:val="clear" w:color="auto" w:fill="auto"/>
          <w:lang w:val="ru-RU" w:eastAsia="ru-RU" w:bidi="ru-RU"/>
        </w:rPr>
        <w:t xml:space="preserve"> ... ).</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Таким образом, Заказчик нарушил ч.1 ст.42 Закона.</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Комиссия Ростовского УФАС России не выдает предписание об устранении указанных нарушений Закона, так как выявленное нарушение законодательства Российской Федерации о контрактной системе не повлияло на результаты определения поставщика (подрядчика, исполнителя).</w:t>
      </w:r>
    </w:p>
    <w:p>
      <w:pPr>
        <w:pStyle w:val="Style10"/>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 728, в соответствии с ч.15 ст.99, ч.8 ст.106 Закона,</w:t>
      </w:r>
    </w:p>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0"/>
        <w:keepNext w:val="0"/>
        <w:keepLines w:val="0"/>
        <w:widowControl w:val="0"/>
        <w:numPr>
          <w:ilvl w:val="0"/>
          <w:numId w:val="5"/>
        </w:numPr>
        <w:shd w:val="clear" w:color="auto" w:fill="auto"/>
        <w:tabs>
          <w:tab w:pos="105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ООО «Медком» необоснованной.</w:t>
      </w:r>
    </w:p>
    <w:p>
      <w:pPr>
        <w:pStyle w:val="Style10"/>
        <w:keepNext w:val="0"/>
        <w:keepLines w:val="0"/>
        <w:widowControl w:val="0"/>
        <w:numPr>
          <w:ilvl w:val="0"/>
          <w:numId w:val="5"/>
        </w:numPr>
        <w:shd w:val="clear" w:color="auto" w:fill="auto"/>
        <w:tabs>
          <w:tab w:pos="107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Заказчика нарушившим ч.1 ст.42 Закона.</w:t>
      </w:r>
    </w:p>
    <w:p>
      <w:pPr>
        <w:pStyle w:val="Style10"/>
        <w:keepNext w:val="0"/>
        <w:keepLines w:val="0"/>
        <w:widowControl w:val="0"/>
        <w:numPr>
          <w:ilvl w:val="0"/>
          <w:numId w:val="5"/>
        </w:numPr>
        <w:shd w:val="clear" w:color="auto" w:fill="auto"/>
        <w:tabs>
          <w:tab w:pos="1022" w:val="left"/>
        </w:tabs>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Предписание не выдавать, так как выявленное нарушение законодательства Российской Федерации о контрактной системе не повлияло на результаты определения поставщика (подрядчика, исполнителя).</w:t>
      </w:r>
      <w:r>
        <w:br w:type="page"/>
      </w:r>
    </w:p>
    <w:p>
      <w:pPr>
        <w:pStyle w:val="Style10"/>
        <w:keepNext w:val="0"/>
        <w:keepLines w:val="0"/>
        <w:widowControl w:val="0"/>
        <w:numPr>
          <w:ilvl w:val="0"/>
          <w:numId w:val="5"/>
        </w:numPr>
        <w:shd w:val="clear" w:color="auto" w:fill="auto"/>
        <w:tabs>
          <w:tab w:pos="1064" w:val="left"/>
        </w:tabs>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Уполномоченного органа.</w:t>
      </w:r>
    </w:p>
    <w:p>
      <w:pPr>
        <w:pStyle w:val="Style10"/>
        <w:keepNext w:val="0"/>
        <w:keepLines w:val="0"/>
        <w:widowControl w:val="0"/>
        <w:shd w:val="clear" w:color="auto" w:fill="auto"/>
        <w:bidi w:val="0"/>
        <w:spacing w:before="0" w:after="920" w:line="259" w:lineRule="auto"/>
        <w:ind w:left="0" w:right="0" w:firstLine="780"/>
        <w:jc w:val="left"/>
        <w:rPr>
          <w:sz w:val="22"/>
          <w:szCs w:val="22"/>
        </w:rPr>
      </w:pPr>
      <w:r>
        <w:rPr>
          <w:color w:val="000000"/>
          <w:spacing w:val="0"/>
          <w:w w:val="100"/>
          <w:position w:val="0"/>
          <w:sz w:val="22"/>
          <w:szCs w:val="22"/>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4"/>
        <w:gridCol w:w="4138"/>
        <w:gridCol w:w="3134"/>
      </w:tblGrid>
      <w:tr>
        <w:trPr>
          <w:trHeight w:val="1310"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2"/>
              <w:keepNext w:val="0"/>
              <w:keepLines w:val="0"/>
              <w:widowControl w:val="0"/>
              <w:shd w:val="clear" w:color="auto" w:fill="auto"/>
              <w:bidi w:val="0"/>
              <w:spacing w:before="0" w:after="0" w:line="386" w:lineRule="auto"/>
              <w:ind w:left="440" w:right="0" w:firstLine="0"/>
              <w:jc w:val="left"/>
              <w:rPr>
                <w:sz w:val="22"/>
                <w:szCs w:val="22"/>
              </w:rPr>
            </w:pPr>
            <w:r>
              <w:rPr>
                <w:rFonts w:ascii="Arial" w:eastAsia="Arial" w:hAnsi="Arial" w:cs="Arial"/>
                <w:b/>
                <w:bCs/>
                <w:color w:val="888989"/>
                <w:spacing w:val="0"/>
                <w:w w:val="100"/>
                <w:position w:val="0"/>
                <w:sz w:val="22"/>
                <w:szCs w:val="22"/>
                <w:shd w:val="clear" w:color="auto" w:fill="auto"/>
                <w:lang w:val="ru-RU" w:eastAsia="ru-RU" w:bidi="ru-RU"/>
              </w:rPr>
              <w:t xml:space="preserve">Мест для подписи: </w:t>
            </w:r>
            <w:r>
              <w:rPr>
                <w:rFonts w:ascii="Arial" w:eastAsia="Arial" w:hAnsi="Arial" w:cs="Arial"/>
                <w:b/>
                <w:bCs/>
                <w:color w:val="888989"/>
                <w:spacing w:val="0"/>
                <w:w w:val="100"/>
                <w:position w:val="0"/>
                <w:sz w:val="22"/>
                <w:szCs w:val="22"/>
                <w:shd w:val="clear" w:color="auto" w:fill="auto"/>
                <w:lang w:val="ru-RU" w:eastAsia="ru-RU" w:bidi="ru-RU"/>
              </w:rPr>
              <w:t>Биа г одарен М. А.</w:t>
            </w:r>
          </w:p>
        </w:tc>
        <w:tc>
          <w:tcPr>
            <w:tcBorders/>
            <w:shd w:val="clear" w:color="auto" w:fill="auto"/>
            <w:vAlign w:val="top"/>
          </w:tcPr>
          <w:p>
            <w:pPr>
              <w:pStyle w:val="Style22"/>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c>
      </w:tr>
      <w:tr>
        <w:trPr>
          <w:trHeight w:val="1493" w:hRule="exact"/>
        </w:trPr>
        <w:tc>
          <w:tcPr>
            <w:tcBorders/>
            <w:shd w:val="clear" w:color="auto" w:fill="auto"/>
            <w:vAlign w:val="top"/>
          </w:tcPr>
          <w:p>
            <w:pPr>
              <w:pStyle w:val="Style22"/>
              <w:keepNext w:val="0"/>
              <w:keepLines w:val="0"/>
              <w:widowControl w:val="0"/>
              <w:shd w:val="clear" w:color="auto" w:fill="auto"/>
              <w:bidi w:val="0"/>
              <w:spacing w:before="12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2"/>
              <w:keepNext w:val="0"/>
              <w:keepLines w:val="0"/>
              <w:widowControl w:val="0"/>
              <w:shd w:val="clear" w:color="auto" w:fill="auto"/>
              <w:bidi w:val="0"/>
              <w:spacing w:before="0" w:after="0" w:line="396" w:lineRule="auto"/>
              <w:ind w:left="440" w:right="0" w:firstLine="0"/>
              <w:jc w:val="left"/>
              <w:rPr>
                <w:sz w:val="22"/>
                <w:szCs w:val="22"/>
              </w:rPr>
            </w:pPr>
            <w:r>
              <w:rPr>
                <w:rFonts w:ascii="Arial" w:eastAsia="Arial" w:hAnsi="Arial" w:cs="Arial"/>
                <w:b/>
                <w:bCs/>
                <w:color w:val="888989"/>
                <w:spacing w:val="0"/>
                <w:w w:val="100"/>
                <w:position w:val="0"/>
                <w:sz w:val="22"/>
                <w:szCs w:val="22"/>
                <w:shd w:val="clear" w:color="auto" w:fill="auto"/>
                <w:lang w:val="ru-RU" w:eastAsia="ru-RU" w:bidi="ru-RU"/>
              </w:rPr>
              <w:t xml:space="preserve">Место для подписи: </w:t>
            </w:r>
            <w:r>
              <w:rPr>
                <w:rFonts w:ascii="Arial" w:eastAsia="Arial" w:hAnsi="Arial" w:cs="Arial"/>
                <w:b/>
                <w:bCs/>
                <w:color w:val="888989"/>
                <w:spacing w:val="0"/>
                <w:w w:val="100"/>
                <w:position w:val="0"/>
                <w:sz w:val="22"/>
                <w:szCs w:val="22"/>
                <w:shd w:val="clear" w:color="auto" w:fill="auto"/>
                <w:lang w:val="ru-RU" w:eastAsia="ru-RU" w:bidi="ru-RU"/>
              </w:rPr>
              <w:t>Евсграюьа С. А.</w:t>
            </w:r>
          </w:p>
        </w:tc>
        <w:tc>
          <w:tcPr>
            <w:tcBorders/>
            <w:shd w:val="clear" w:color="auto" w:fill="auto"/>
            <w:vAlign w:val="top"/>
          </w:tcPr>
          <w:p>
            <w:pPr>
              <w:pStyle w:val="Style22"/>
              <w:keepNext w:val="0"/>
              <w:keepLines w:val="0"/>
              <w:widowControl w:val="0"/>
              <w:shd w:val="clear" w:color="auto" w:fill="auto"/>
              <w:bidi w:val="0"/>
              <w:spacing w:before="12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c>
      </w:tr>
      <w:tr>
        <w:trPr>
          <w:trHeight w:val="1315"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2"/>
              <w:keepNext w:val="0"/>
              <w:keepLines w:val="0"/>
              <w:widowControl w:val="0"/>
              <w:shd w:val="clear" w:color="auto" w:fill="auto"/>
              <w:bidi w:val="0"/>
              <w:spacing w:before="0" w:after="120" w:line="240" w:lineRule="auto"/>
              <w:ind w:left="440" w:right="0" w:firstLine="0"/>
              <w:jc w:val="left"/>
              <w:rPr>
                <w:sz w:val="22"/>
                <w:szCs w:val="22"/>
              </w:rPr>
            </w:pPr>
            <w:r>
              <w:rPr>
                <w:rFonts w:ascii="Arial" w:eastAsia="Arial" w:hAnsi="Arial" w:cs="Arial"/>
                <w:b/>
                <w:bCs/>
                <w:color w:val="888989"/>
                <w:spacing w:val="0"/>
                <w:w w:val="100"/>
                <w:position w:val="0"/>
                <w:sz w:val="22"/>
                <w:szCs w:val="22"/>
                <w:shd w:val="clear" w:color="auto" w:fill="auto"/>
                <w:lang w:val="ru-RU" w:eastAsia="ru-RU" w:bidi="ru-RU"/>
              </w:rPr>
              <w:t>Место для подписи:</w:t>
            </w:r>
          </w:p>
          <w:p>
            <w:pPr>
              <w:pStyle w:val="Style22"/>
              <w:keepNext w:val="0"/>
              <w:keepLines w:val="0"/>
              <w:widowControl w:val="0"/>
              <w:shd w:val="clear" w:color="auto" w:fill="auto"/>
              <w:bidi w:val="0"/>
              <w:spacing w:before="0" w:after="0" w:line="240" w:lineRule="auto"/>
              <w:ind w:left="440" w:right="0" w:firstLine="0"/>
              <w:jc w:val="left"/>
              <w:rPr>
                <w:sz w:val="26"/>
                <w:szCs w:val="26"/>
              </w:rPr>
            </w:pPr>
            <w:r>
              <w:rPr>
                <w:rFonts w:ascii="Arial" w:eastAsia="Arial" w:hAnsi="Arial" w:cs="Arial"/>
                <w:b/>
                <w:bCs/>
                <w:color w:val="888989"/>
                <w:spacing w:val="0"/>
                <w:w w:val="100"/>
                <w:position w:val="0"/>
                <w:sz w:val="26"/>
                <w:szCs w:val="26"/>
                <w:shd w:val="clear" w:color="auto" w:fill="auto"/>
                <w:lang w:val="ru-RU" w:eastAsia="ru-RU" w:bidi="ru-RU"/>
              </w:rPr>
              <w:t>Кириленко В. Д.</w:t>
            </w:r>
          </w:p>
        </w:tc>
        <w:tc>
          <w:tcPr>
            <w:tcBorders/>
            <w:shd w:val="clear" w:color="auto" w:fill="auto"/>
            <w:vAlign w:val="top"/>
          </w:tcPr>
          <w:p>
            <w:pPr>
              <w:pStyle w:val="Style22"/>
              <w:keepNext w:val="0"/>
              <w:keepLines w:val="0"/>
              <w:widowControl w:val="0"/>
              <w:shd w:val="clear" w:color="auto" w:fill="auto"/>
              <w:bidi w:val="0"/>
              <w:spacing w:before="10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bl>
    <w:p>
      <w:pPr>
        <w:widowControl w:val="0"/>
        <w:spacing w:after="7799" w:line="1" w:lineRule="exact"/>
      </w:pPr>
    </w:p>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Исп.Кириленко В.Д.</w:t>
      </w:r>
    </w:p>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тел.(863) 240-86-88, вн.061-131</w:t>
      </w:r>
    </w:p>
    <w:sectPr>
      <w:footerReference w:type="default" r:id="rId12"/>
      <w:footnotePr>
        <w:pos w:val="pageBottom"/>
        <w:numFmt w:val="decimal"/>
        <w:numRestart w:val="continuous"/>
      </w:footnotePr>
      <w:pgSz w:w="11900" w:h="16840"/>
      <w:pgMar w:top="1048" w:right="527" w:bottom="1153" w:left="1081" w:header="62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2023-21334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57.pt;margin-top:776.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718820</wp:posOffset>
              </wp:positionH>
              <wp:positionV relativeFrom="page">
                <wp:posOffset>10024745</wp:posOffset>
              </wp:positionV>
              <wp:extent cx="6470650" cy="103505"/>
              <wp:wrapNone/>
              <wp:docPr id="9" name="Shape 9"/>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2023-21334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5" type="#_x0000_t202" style="position:absolute;margin-left:56.600000000000001pt;margin-top:789.35000000000002pt;width:509.5pt;height:8.1500000000000004pt;z-index:-188744058;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2023-21334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8">
    <w:name w:val="Основной текст (4)_"/>
    <w:basedOn w:val="DefaultParagraphFont"/>
    <w:link w:val="Style7"/>
    <w:rPr>
      <w:rFonts w:ascii="Arial" w:eastAsia="Arial" w:hAnsi="Arial" w:cs="Arial"/>
      <w:b/>
      <w:bCs/>
      <w:i w:val="0"/>
      <w:iCs w:val="0"/>
      <w:smallCaps w:val="0"/>
      <w:strike w:val="0"/>
      <w:color w:val="202020"/>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4562A3"/>
      <w:sz w:val="19"/>
      <w:szCs w:val="19"/>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jc w:val="center"/>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5">
    <w:name w:val="Основной текст (3)"/>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7">
    <w:name w:val="Основной текст (4)"/>
    <w:basedOn w:val="Normal"/>
    <w:link w:val="CharStyle8"/>
    <w:pPr>
      <w:widowControl w:val="0"/>
      <w:shd w:val="clear" w:color="auto" w:fill="auto"/>
      <w:ind w:firstLine="140"/>
    </w:pPr>
    <w:rPr>
      <w:rFonts w:ascii="Arial" w:eastAsia="Arial" w:hAnsi="Arial" w:cs="Arial"/>
      <w:b/>
      <w:bCs/>
      <w:i w:val="0"/>
      <w:iCs w:val="0"/>
      <w:smallCaps w:val="0"/>
      <w:strike w:val="0"/>
      <w:color w:val="202020"/>
      <w:sz w:val="10"/>
      <w:szCs w:val="1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Подпись к картинке"/>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color w:val="4562A3"/>
      <w:sz w:val="19"/>
      <w:szCs w:val="19"/>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