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0960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314"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120" w:line="314" w:lineRule="auto"/>
        <w:ind w:left="0" w:right="0" w:firstLine="620"/>
        <w:jc w:val="both"/>
      </w:pPr>
      <w:r>
        <w:rPr>
          <w:b/>
          <w:bCs/>
          <w:spacing w:val="0"/>
          <w:w w:val="100"/>
          <w:position w:val="0"/>
          <w:shd w:val="clear" w:color="auto" w:fill="auto"/>
          <w:lang w:val="ru-RU" w:eastAsia="ru-RU" w:bidi="ru-RU"/>
        </w:rPr>
        <w:t>А Н ТИ М ОНО ПОЛ ЬН А Я СЛ У Ж НА</w:t>
      </w:r>
    </w:p>
    <w:p>
      <w:pPr>
        <w:pStyle w:val="Style8"/>
        <w:keepNext w:val="0"/>
        <w:keepLines w:val="0"/>
        <w:widowControl w:val="0"/>
        <w:shd w:val="clear" w:color="auto" w:fill="auto"/>
        <w:bidi w:val="0"/>
        <w:spacing w:before="0" w:after="0" w:line="264" w:lineRule="auto"/>
        <w:ind w:left="0" w:right="0" w:firstLine="0"/>
        <w:jc w:val="center"/>
      </w:pPr>
      <w:r>
        <w:rPr>
          <w:b/>
          <w:bCs/>
          <w:color w:val="303033"/>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360" w:line="264" w:lineRule="auto"/>
        <w:ind w:left="0" w:right="0" w:firstLine="0"/>
        <w:jc w:val="center"/>
      </w:pPr>
      <w:r>
        <w:rPr>
          <w:b/>
          <w:bCs/>
          <w:color w:val="303033"/>
          <w:spacing w:val="0"/>
          <w:w w:val="100"/>
          <w:position w:val="0"/>
          <w:shd w:val="clear" w:color="auto" w:fill="auto"/>
          <w:lang w:val="ru-RU" w:eastAsia="ru-RU" w:bidi="ru-RU"/>
        </w:rPr>
        <w:t>Федеральной антимонопольной службы</w:t>
        <w:br/>
        <w:t>по Смоленской области</w:t>
      </w:r>
    </w:p>
    <w:p>
      <w:pPr>
        <w:pStyle w:val="Style5"/>
        <w:keepNext w:val="0"/>
        <w:keepLines w:val="0"/>
        <w:widowControl w:val="0"/>
        <w:shd w:val="clear" w:color="auto" w:fill="auto"/>
        <w:bidi w:val="0"/>
        <w:spacing w:before="0" w:after="0" w:line="300" w:lineRule="auto"/>
        <w:ind w:left="0" w:right="0" w:firstLine="0"/>
        <w:jc w:val="center"/>
      </w:pPr>
      <w:r>
        <w:rPr>
          <w:spacing w:val="0"/>
          <w:w w:val="100"/>
          <w:position w:val="0"/>
          <w:shd w:val="clear" w:color="auto" w:fill="auto"/>
          <w:lang w:val="ru-RU" w:eastAsia="ru-RU" w:bidi="ru-RU"/>
        </w:rPr>
        <w:t>у... Оы.чбрьсм</w:t>
      </w:r>
      <w:r>
        <w:rPr>
          <w:color w:val="666569"/>
          <w:spacing w:val="0"/>
          <w:w w:val="100"/>
          <w:position w:val="0"/>
          <w:shd w:val="clear" w:color="auto" w:fill="auto"/>
          <w:lang w:val="ru-RU" w:eastAsia="ru-RU" w:bidi="ru-RU"/>
        </w:rPr>
        <w:t xml:space="preserve">-3;Револь&gt;нии, </w:t>
      </w:r>
      <w:r>
        <w:rPr>
          <w:spacing w:val="0"/>
          <w:w w:val="100"/>
          <w:position w:val="0"/>
          <w:shd w:val="clear" w:color="auto" w:fill="auto"/>
          <w:lang w:val="ru-RU" w:eastAsia="ru-RU" w:bidi="ru-RU"/>
        </w:rPr>
        <w:t xml:space="preserve">14с, г. </w:t>
      </w:r>
      <w:r>
        <w:rPr>
          <w:color w:val="666569"/>
          <w:spacing w:val="0"/>
          <w:w w:val="100"/>
          <w:position w:val="0"/>
          <w:shd w:val="clear" w:color="auto" w:fill="auto"/>
          <w:lang w:val="ru-RU" w:eastAsia="ru-RU" w:bidi="ru-RU"/>
        </w:rPr>
        <w:t xml:space="preserve">Сглпсиеж, </w:t>
      </w:r>
      <w:r>
        <w:rPr>
          <w:spacing w:val="0"/>
          <w:w w:val="100"/>
          <w:position w:val="0"/>
          <w:shd w:val="clear" w:color="auto" w:fill="auto"/>
          <w:lang w:val="ru-RU" w:eastAsia="ru-RU" w:bidi="ru-RU"/>
        </w:rPr>
        <w:t>2140*Х)</w:t>
        <w:br/>
        <w:t>«? (4812) 38-62-22, фл:с (4812) 38-62-22</w:t>
      </w:r>
    </w:p>
    <w:p>
      <w:pPr>
        <w:pStyle w:val="Style5"/>
        <w:keepNext w:val="0"/>
        <w:keepLines w:val="0"/>
        <w:widowControl w:val="0"/>
        <w:shd w:val="clear" w:color="auto" w:fill="auto"/>
        <w:bidi w:val="0"/>
        <w:spacing w:before="0" w:after="0" w:line="300" w:lineRule="auto"/>
        <w:ind w:left="0" w:right="0" w:firstLine="0"/>
        <w:jc w:val="center"/>
      </w:pPr>
      <w:r>
        <w:rPr>
          <w:spacing w:val="0"/>
          <w:w w:val="100"/>
          <w:position w:val="0"/>
          <w:shd w:val="clear" w:color="auto" w:fill="auto"/>
          <w:lang w:val="ru-RU" w:eastAsia="ru-RU" w:bidi="ru-RU"/>
        </w:rPr>
        <w:t xml:space="preserve">е-глай; ЮбТ'Г Га&lt; </w:t>
      </w:r>
      <w:r>
        <w:rPr>
          <w:color w:val="666569"/>
          <w:spacing w:val="0"/>
          <w:w w:val="100"/>
          <w:position w:val="0"/>
          <w:shd w:val="clear" w:color="auto" w:fill="auto"/>
          <w:lang w:val="ru-RU" w:eastAsia="ru-RU" w:bidi="ru-RU"/>
        </w:rPr>
        <w:t>грг.ги</w:t>
      </w:r>
    </w:p>
    <w:p>
      <w:pPr>
        <w:pStyle w:val="Style12"/>
        <w:keepNext/>
        <w:keepLines/>
        <w:widowControl w:val="0"/>
        <w:shd w:val="clear" w:color="auto" w:fill="auto"/>
        <w:tabs>
          <w:tab w:pos="1959" w:val="left"/>
        </w:tabs>
        <w:bidi w:val="0"/>
        <w:spacing w:before="0" w:line="240" w:lineRule="auto"/>
        <w:ind w:left="0" w:right="0"/>
        <w:jc w:val="both"/>
      </w:pPr>
      <w:bookmarkStart w:id="0" w:name="bookmark0"/>
      <w:r>
        <w:rPr>
          <w:color w:val="000000"/>
          <w:spacing w:val="0"/>
          <w:w w:val="100"/>
          <w:position w:val="0"/>
          <w:shd w:val="clear" w:color="auto" w:fill="auto"/>
          <w:lang w:val="ru-RU" w:eastAsia="ru-RU" w:bidi="ru-RU"/>
        </w:rPr>
        <w:t>10.11.2023</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ВШ/3264/2</w:t>
      </w:r>
      <w:r>
        <w:rPr>
          <w:color w:val="000000"/>
          <w:spacing w:val="0"/>
          <w:w w:val="100"/>
          <w:position w:val="0"/>
          <w:u w:val="none"/>
          <w:shd w:val="clear" w:color="auto" w:fill="auto"/>
          <w:lang w:val="ru-RU" w:eastAsia="ru-RU" w:bidi="ru-RU"/>
        </w:rPr>
        <w:t>3</w:t>
      </w:r>
      <w:bookmarkEnd w:id="0"/>
    </w:p>
    <w:p>
      <w:pPr>
        <w:pStyle w:val="Style8"/>
        <w:keepNext w:val="0"/>
        <w:keepLines w:val="0"/>
        <w:widowControl w:val="0"/>
        <w:shd w:val="clear" w:color="auto" w:fill="auto"/>
        <w:bidi w:val="0"/>
        <w:spacing w:before="0" w:after="0" w:line="240" w:lineRule="auto"/>
        <w:ind w:left="20" w:right="0" w:firstLine="0"/>
        <w:jc w:val="center"/>
      </w:pPr>
      <w:r>
        <w:rPr>
          <w:color w:val="303033"/>
          <w:spacing w:val="0"/>
          <w:w w:val="100"/>
          <w:position w:val="0"/>
          <w:shd w:val="clear" w:color="auto" w:fill="auto"/>
          <w:lang w:val="ru-RU" w:eastAsia="ru-RU" w:bidi="ru-RU"/>
        </w:rPr>
        <w:t xml:space="preserve">На № </w:t>
      </w:r>
      <w:r>
        <w:rPr>
          <w:color w:val="666569"/>
          <w:spacing w:val="0"/>
          <w:w w:val="100"/>
          <w:position w:val="0"/>
          <w:shd w:val="clear" w:color="auto" w:fill="auto"/>
          <w:lang w:val="ru-RU" w:eastAsia="ru-RU" w:bidi="ru-RU"/>
        </w:rPr>
        <w:t xml:space="preserve"> </w:t>
      </w:r>
      <w:r>
        <w:rPr>
          <w:color w:val="303033"/>
          <w:spacing w:val="0"/>
          <w:w w:val="100"/>
          <w:position w:val="0"/>
          <w:shd w:val="clear" w:color="auto" w:fill="auto"/>
          <w:lang w:val="ru-RU" w:eastAsia="ru-RU" w:bidi="ru-RU"/>
        </w:rPr>
        <w:t>от</w:t>
      </w:r>
    </w:p>
    <w:p>
      <w:pPr>
        <w:pStyle w:val="Style17"/>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Государственному заказчику:</w:t>
      </w:r>
      <w:bookmarkEnd w:id="2"/>
    </w:p>
    <w:p>
      <w:pPr>
        <w:pStyle w:val="Style19"/>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24"/>
          <w:szCs w:val="24"/>
          <w:shd w:val="clear" w:color="auto" w:fill="auto"/>
          <w:lang w:val="ru-RU" w:eastAsia="ru-RU" w:bidi="ru-RU"/>
        </w:rPr>
        <w:t xml:space="preserve">ОГБУЗ «Смоленская областная детская клиническая больница» </w:t>
      </w:r>
      <w:r>
        <w:rPr>
          <w:color w:val="000000"/>
          <w:spacing w:val="0"/>
          <w:w w:val="100"/>
          <w:position w:val="0"/>
          <w:sz w:val="19"/>
          <w:szCs w:val="19"/>
          <w:shd w:val="clear" w:color="auto" w:fill="auto"/>
          <w:lang w:val="ru-RU" w:eastAsia="ru-RU" w:bidi="ru-RU"/>
        </w:rPr>
        <w:t>проезд Маршала Конева, д. ЗОв, г. Смоленск, 214019</w:t>
      </w:r>
    </w:p>
    <w:p>
      <w:pPr>
        <w:pStyle w:val="Style8"/>
        <w:keepNext w:val="0"/>
        <w:keepLines w:val="0"/>
        <w:widowControl w:val="0"/>
        <w:shd w:val="clear" w:color="auto" w:fill="auto"/>
        <w:bidi w:val="0"/>
        <w:spacing w:before="0" w:after="240" w:line="240" w:lineRule="auto"/>
        <w:ind w:left="0" w:right="0" w:firstLine="0"/>
        <w:jc w:val="left"/>
      </w:pPr>
      <w:r>
        <w:fldChar w:fldCharType="begin"/>
      </w:r>
      <w:r>
        <w:rPr/>
        <w:instrText> HYPERLINK "mailto:smol_odkb@mail.ru" </w:instrText>
      </w:r>
      <w:r>
        <w:fldChar w:fldCharType="separate"/>
      </w:r>
      <w:r>
        <w:rPr>
          <w:color w:val="000000"/>
          <w:spacing w:val="0"/>
          <w:w w:val="100"/>
          <w:position w:val="0"/>
          <w:shd w:val="clear" w:color="auto" w:fill="auto"/>
          <w:lang w:val="ru-RU" w:eastAsia="ru-RU" w:bidi="ru-RU"/>
        </w:rPr>
        <w:t>8шо1_о(1кЬ@та11.ги</w:t>
      </w:r>
      <w:r>
        <w:fldChar w:fldCharType="end"/>
      </w:r>
    </w:p>
    <w:p>
      <w:pPr>
        <w:pStyle w:val="Style17"/>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Уполномоченному органу:</w:t>
      </w:r>
      <w:bookmarkEnd w:id="4"/>
    </w:p>
    <w:p>
      <w:pPr>
        <w:pStyle w:val="Style19"/>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24"/>
          <w:szCs w:val="24"/>
          <w:shd w:val="clear" w:color="auto" w:fill="auto"/>
          <w:lang w:val="ru-RU" w:eastAsia="ru-RU" w:bidi="ru-RU"/>
        </w:rPr>
        <w:t xml:space="preserve">Главному управлению Смоленской области по регулированию контрактной системы </w:t>
      </w:r>
      <w:r>
        <w:rPr>
          <w:color w:val="000000"/>
          <w:spacing w:val="0"/>
          <w:w w:val="100"/>
          <w:position w:val="0"/>
          <w:sz w:val="19"/>
          <w:szCs w:val="19"/>
          <w:shd w:val="clear" w:color="auto" w:fill="auto"/>
          <w:lang w:val="ru-RU" w:eastAsia="ru-RU" w:bidi="ru-RU"/>
        </w:rPr>
        <w:t>пл. Ленина, 1, каб. 243, г. Смоленск, 214008</w:t>
      </w:r>
    </w:p>
    <w:p>
      <w:pPr>
        <w:pStyle w:val="Style8"/>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64" w:right="892" w:bottom="1079" w:left="1451" w:header="0" w:footer="3" w:gutter="0"/>
          <w:pgNumType w:start="1"/>
          <w:cols w:num="2" w:space="720" w:equalWidth="0">
            <w:col w:w="4291" w:space="451"/>
            <w:col w:w="4814"/>
          </w:cols>
          <w:noEndnote/>
          <w:titlePg/>
          <w:rtlGutter w:val="0"/>
          <w:docGrid w:linePitch="360"/>
        </w:sectPr>
      </w:pPr>
      <w:r>
        <w:fldChar w:fldCharType="begin"/>
      </w:r>
      <w:r>
        <w:rPr/>
        <w:instrText> HYPERLINK "mailto:goszakaz@admin-smolensk.ru" </w:instrText>
      </w:r>
      <w:r>
        <w:fldChar w:fldCharType="separate"/>
      </w:r>
      <w:r>
        <w:rPr>
          <w:color w:val="000000"/>
          <w:spacing w:val="0"/>
          <w:w w:val="100"/>
          <w:position w:val="0"/>
          <w:shd w:val="clear" w:color="auto" w:fill="auto"/>
          <w:lang w:val="ru-RU" w:eastAsia="ru-RU" w:bidi="ru-RU"/>
        </w:rPr>
        <w:t>§озгака2@а&lt;1п1ш-8то1еп8к.п1</w:t>
      </w:r>
      <w:r>
        <w:fldChar w:fldCharType="end"/>
      </w:r>
    </w:p>
    <w:p>
      <w:pPr>
        <w:pStyle w:val="Style17"/>
        <w:keepNext/>
        <w:keepLines/>
        <w:widowControl w:val="0"/>
        <w:shd w:val="clear" w:color="auto" w:fill="auto"/>
        <w:bidi w:val="0"/>
        <w:spacing w:before="0" w:after="0" w:line="240" w:lineRule="auto"/>
        <w:ind w:left="4920" w:right="0" w:firstLine="0"/>
        <w:jc w:val="left"/>
      </w:pPr>
      <w:bookmarkStart w:id="6" w:name="bookmark6"/>
      <w:r>
        <w:rPr>
          <w:color w:val="000000"/>
          <w:spacing w:val="0"/>
          <w:w w:val="100"/>
          <w:position w:val="0"/>
          <w:shd w:val="clear" w:color="auto" w:fill="auto"/>
          <w:lang w:val="ru-RU" w:eastAsia="ru-RU" w:bidi="ru-RU"/>
        </w:rPr>
        <w:t>Заявителю:</w:t>
      </w:r>
      <w:bookmarkEnd w:id="6"/>
    </w:p>
    <w:p>
      <w:pPr>
        <w:pStyle w:val="Style8"/>
        <w:keepNext w:val="0"/>
        <w:keepLines w:val="0"/>
        <w:widowControl w:val="0"/>
        <w:shd w:val="clear" w:color="auto" w:fill="auto"/>
        <w:bidi w:val="0"/>
        <w:spacing w:before="0" w:after="0" w:line="240" w:lineRule="auto"/>
        <w:ind w:left="4920" w:right="0" w:firstLine="0"/>
        <w:jc w:val="left"/>
      </w:pPr>
      <w:r>
        <w:rPr>
          <w:color w:val="000000"/>
          <w:spacing w:val="0"/>
          <w:w w:val="100"/>
          <w:position w:val="0"/>
          <w:sz w:val="24"/>
          <w:szCs w:val="24"/>
          <w:shd w:val="clear" w:color="auto" w:fill="auto"/>
          <w:lang w:val="ru-RU" w:eastAsia="ru-RU" w:bidi="ru-RU"/>
        </w:rPr>
        <w:t xml:space="preserve">ООО «ФАРМ-СТ» </w:t>
      </w:r>
      <w:r>
        <w:rPr>
          <w:color w:val="000000"/>
          <w:spacing w:val="0"/>
          <w:w w:val="100"/>
          <w:position w:val="0"/>
          <w:shd w:val="clear" w:color="auto" w:fill="auto"/>
          <w:lang w:val="ru-RU" w:eastAsia="ru-RU" w:bidi="ru-RU"/>
        </w:rPr>
        <w:t>ул. Фабричная, д. 7, помещ. 4, г. Реутов, 143960</w:t>
      </w:r>
    </w:p>
    <w:p>
      <w:pPr>
        <w:pStyle w:val="Style8"/>
        <w:keepNext w:val="0"/>
        <w:keepLines w:val="0"/>
        <w:widowControl w:val="0"/>
        <w:shd w:val="clear" w:color="auto" w:fill="auto"/>
        <w:bidi w:val="0"/>
        <w:spacing w:before="0" w:after="280" w:line="259" w:lineRule="auto"/>
        <w:ind w:left="4920" w:right="0" w:firstLine="0"/>
        <w:jc w:val="left"/>
      </w:pPr>
      <w:r>
        <w:fldChar w:fldCharType="begin"/>
      </w:r>
      <w:r>
        <w:rPr/>
        <w:instrText> HYPERLINK "mailto:farmst00@mail.ru" </w:instrText>
      </w:r>
      <w:r>
        <w:fldChar w:fldCharType="separate"/>
      </w:r>
      <w:r>
        <w:rPr>
          <w:color w:val="000000"/>
          <w:spacing w:val="0"/>
          <w:w w:val="100"/>
          <w:position w:val="0"/>
          <w:shd w:val="clear" w:color="auto" w:fill="auto"/>
          <w:lang w:val="ru-RU" w:eastAsia="ru-RU" w:bidi="ru-RU"/>
        </w:rPr>
        <w:t>Гапп8Ю0@таИ.ги</w:t>
      </w:r>
      <w:r>
        <w:fldChar w:fldCharType="end"/>
      </w:r>
    </w:p>
    <w:p>
      <w:pPr>
        <w:pStyle w:val="Style17"/>
        <w:keepNext/>
        <w:keepLines/>
        <w:widowControl w:val="0"/>
        <w:shd w:val="clear" w:color="auto" w:fill="auto"/>
        <w:bidi w:val="0"/>
        <w:spacing w:before="0" w:after="0" w:line="228" w:lineRule="auto"/>
        <w:ind w:left="4920" w:right="0" w:firstLine="0"/>
        <w:jc w:val="left"/>
      </w:pPr>
      <w:bookmarkStart w:id="8" w:name="bookmark8"/>
      <w:r>
        <w:rPr>
          <w:color w:val="000000"/>
          <w:spacing w:val="0"/>
          <w:w w:val="100"/>
          <w:position w:val="0"/>
          <w:shd w:val="clear" w:color="auto" w:fill="auto"/>
          <w:lang w:val="ru-RU" w:eastAsia="ru-RU" w:bidi="ru-RU"/>
        </w:rPr>
        <w:t>Электронной площадке:</w:t>
      </w:r>
      <w:bookmarkEnd w:id="8"/>
    </w:p>
    <w:p>
      <w:pPr>
        <w:pStyle w:val="Style19"/>
        <w:keepNext w:val="0"/>
        <w:keepLines w:val="0"/>
        <w:widowControl w:val="0"/>
        <w:shd w:val="clear" w:color="auto" w:fill="auto"/>
        <w:bidi w:val="0"/>
        <w:spacing w:before="0" w:after="340" w:line="233" w:lineRule="auto"/>
        <w:ind w:left="4920" w:right="0" w:firstLine="0"/>
        <w:jc w:val="left"/>
        <w:rPr>
          <w:sz w:val="19"/>
          <w:szCs w:val="19"/>
        </w:rPr>
      </w:pPr>
      <w:r>
        <w:rPr>
          <w:color w:val="000000"/>
          <w:spacing w:val="0"/>
          <w:w w:val="100"/>
          <w:position w:val="0"/>
          <w:sz w:val="24"/>
          <w:szCs w:val="24"/>
          <w:shd w:val="clear" w:color="auto" w:fill="auto"/>
          <w:lang w:val="ru-RU" w:eastAsia="ru-RU" w:bidi="ru-RU"/>
        </w:rPr>
        <w:t xml:space="preserve">ООО «РТС-тендер» </w:t>
      </w:r>
      <w:r>
        <w:fldChar w:fldCharType="begin"/>
      </w:r>
      <w:r>
        <w:rPr/>
        <w:instrText> HYPERLINK "mailto:ko@rts-tender.ru" </w:instrText>
      </w:r>
      <w:r>
        <w:fldChar w:fldCharType="separate"/>
      </w:r>
      <w:r>
        <w:rPr>
          <w:color w:val="000000"/>
          <w:spacing w:val="0"/>
          <w:w w:val="100"/>
          <w:position w:val="0"/>
          <w:sz w:val="19"/>
          <w:szCs w:val="19"/>
          <w:shd w:val="clear" w:color="auto" w:fill="auto"/>
          <w:lang w:val="ru-RU" w:eastAsia="ru-RU" w:bidi="ru-RU"/>
        </w:rPr>
        <w:t>ко@Н8-1епбег.ги</w:t>
      </w:r>
      <w:r>
        <w:fldChar w:fldCharType="end"/>
      </w:r>
    </w:p>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9"/>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по делу № 067/06/33-651/2023 о нарушении</w:t>
        <w:br/>
        <w:t>законодательства Российской Федерации о контрактной системе</w:t>
      </w:r>
    </w:p>
    <w:p>
      <w:pPr>
        <w:pStyle w:val="Style19"/>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38100" distR="38100" simplePos="0" relativeHeight="125829378" behindDoc="0" locked="0" layoutInCell="1" allowOverlap="1">
                <wp:simplePos x="0" y="0"/>
                <wp:positionH relativeFrom="page">
                  <wp:posOffset>6407785</wp:posOffset>
                </wp:positionH>
                <wp:positionV relativeFrom="paragraph">
                  <wp:posOffset>12700</wp:posOffset>
                </wp:positionV>
                <wp:extent cx="831850" cy="189230"/>
                <wp:wrapSquare wrapText="left"/>
                <wp:docPr id="8" name="Shape 8"/>
                <a:graphic xmlns:a="http://schemas.openxmlformats.org/drawingml/2006/main">
                  <a:graphicData uri="http://schemas.microsoft.com/office/word/2010/wordprocessingShape">
                    <wps:wsp>
                      <wps:cNvSpPr txBox="1"/>
                      <wps:spPr>
                        <a:xfrm>
                          <a:ext cx="831850" cy="1892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34" type="#_x0000_t202" style="position:absolute;margin-left:504.55000000000001pt;margin-top:1.pt;width:65.5pt;height:14.9pt;z-index:-125829375;mso-wrap-distance-left:3.pt;mso-wrap-distance-right:3.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07 ноября 2023 года</w:t>
      </w:r>
    </w:p>
    <w:p>
      <w:pPr>
        <w:pStyle w:val="Style19"/>
        <w:keepNext w:val="0"/>
        <w:keepLines w:val="0"/>
        <w:widowControl w:val="0"/>
        <w:shd w:val="clear" w:color="auto" w:fill="auto"/>
        <w:bidi w:val="0"/>
        <w:spacing w:before="0" w:after="280" w:line="254" w:lineRule="auto"/>
        <w:ind w:left="0" w:right="0" w:firstLine="860"/>
        <w:jc w:val="left"/>
      </w:pPr>
      <w:r>
        <w:rPr>
          <w:color w:val="000000"/>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tbl>
      <w:tblPr>
        <w:tblOverlap w:val="never"/>
        <w:jc w:val="center"/>
        <w:tblLayout w:type="fixed"/>
      </w:tblPr>
      <w:tblGrid>
        <w:gridCol w:w="4262"/>
        <w:gridCol w:w="6077"/>
      </w:tblGrid>
      <w:tr>
        <w:trPr>
          <w:trHeight w:val="1133"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Заместитель</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председателя Комиссии:</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1760" w:right="0" w:firstLine="20"/>
              <w:jc w:val="both"/>
            </w:pPr>
            <w:r>
              <w:rPr>
                <w:color w:val="000000"/>
                <w:spacing w:val="0"/>
                <w:w w:val="100"/>
                <w:position w:val="0"/>
                <w:sz w:val="24"/>
                <w:szCs w:val="24"/>
                <w:shd w:val="clear" w:color="auto" w:fill="auto"/>
                <w:lang w:val="ru-RU" w:eastAsia="ru-RU" w:bidi="ru-RU"/>
              </w:rPr>
              <w:t>- начальник отдела контроля закупок и антимонопольного контроля органов власти Смоленского УФАС России;</w:t>
            </w:r>
          </w:p>
        </w:tc>
      </w:tr>
      <w:tr>
        <w:trPr>
          <w:trHeight w:val="2304"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3"/>
              <w:keepNext w:val="0"/>
              <w:keepLines w:val="0"/>
              <w:widowControl w:val="0"/>
              <w:numPr>
                <w:ilvl w:val="0"/>
                <w:numId w:val="1"/>
              </w:numPr>
              <w:shd w:val="clear" w:color="auto" w:fill="auto"/>
              <w:tabs>
                <w:tab w:pos="2005" w:val="left"/>
              </w:tabs>
              <w:bidi w:val="0"/>
              <w:spacing w:before="0" w:after="0" w:line="254" w:lineRule="auto"/>
              <w:ind w:left="1760" w:right="0" w:firstLine="2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p>
            <w:pPr>
              <w:pStyle w:val="Style23"/>
              <w:keepNext w:val="0"/>
              <w:keepLines w:val="0"/>
              <w:widowControl w:val="0"/>
              <w:numPr>
                <w:ilvl w:val="0"/>
                <w:numId w:val="1"/>
              </w:numPr>
              <w:shd w:val="clear" w:color="auto" w:fill="auto"/>
              <w:tabs>
                <w:tab w:pos="2005" w:val="left"/>
              </w:tabs>
              <w:bidi w:val="0"/>
              <w:spacing w:before="0" w:after="0" w:line="254" w:lineRule="auto"/>
              <w:ind w:left="1760" w:right="0" w:firstLine="2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tc>
      </w:tr>
    </w:tbl>
    <w:p>
      <w:pPr>
        <w:pStyle w:val="Style19"/>
        <w:keepNext w:val="0"/>
        <w:keepLines w:val="0"/>
        <w:widowControl w:val="0"/>
        <w:shd w:val="clear" w:color="auto" w:fill="auto"/>
        <w:bidi w:val="0"/>
        <w:spacing w:before="0" w:after="0" w:line="259" w:lineRule="auto"/>
        <w:ind w:left="0" w:right="0" w:firstLine="860"/>
        <w:jc w:val="left"/>
      </w:pPr>
      <w:r>
        <w:rPr>
          <w:color w:val="000000"/>
          <w:spacing w:val="0"/>
          <w:w w:val="100"/>
          <w:position w:val="0"/>
          <w:sz w:val="24"/>
          <w:szCs w:val="24"/>
          <w:shd w:val="clear" w:color="auto" w:fill="auto"/>
          <w:lang w:val="ru-RU" w:eastAsia="ru-RU" w:bidi="ru-RU"/>
        </w:rPr>
        <w:t xml:space="preserve">при </w:t>
      </w:r>
      <w:r>
        <w:rPr>
          <w:color w:val="303033"/>
          <w:spacing w:val="0"/>
          <w:w w:val="100"/>
          <w:position w:val="0"/>
          <w:sz w:val="24"/>
          <w:szCs w:val="24"/>
          <w:shd w:val="clear" w:color="auto" w:fill="auto"/>
          <w:lang w:val="ru-RU" w:eastAsia="ru-RU" w:bidi="ru-RU"/>
        </w:rPr>
        <w:t xml:space="preserve">личном </w:t>
      </w:r>
      <w:r>
        <w:rPr>
          <w:color w:val="000000"/>
          <w:spacing w:val="0"/>
          <w:w w:val="100"/>
          <w:position w:val="0"/>
          <w:sz w:val="24"/>
          <w:szCs w:val="24"/>
          <w:shd w:val="clear" w:color="auto" w:fill="auto"/>
          <w:lang w:val="ru-RU" w:eastAsia="ru-RU" w:bidi="ru-RU"/>
        </w:rPr>
        <w:t xml:space="preserve">участии в рассмотрении </w:t>
      </w:r>
      <w:r>
        <w:rPr>
          <w:color w:val="303033"/>
          <w:spacing w:val="0"/>
          <w:w w:val="100"/>
          <w:position w:val="0"/>
          <w:sz w:val="24"/>
          <w:szCs w:val="24"/>
          <w:shd w:val="clear" w:color="auto" w:fill="auto"/>
          <w:lang w:val="ru-RU" w:eastAsia="ru-RU" w:bidi="ru-RU"/>
        </w:rPr>
        <w:t xml:space="preserve">жалобы </w:t>
      </w:r>
      <w:r>
        <w:rPr>
          <w:color w:val="000000"/>
          <w:spacing w:val="0"/>
          <w:w w:val="100"/>
          <w:position w:val="0"/>
          <w:sz w:val="24"/>
          <w:szCs w:val="24"/>
          <w:shd w:val="clear" w:color="auto" w:fill="auto"/>
          <w:lang w:val="ru-RU" w:eastAsia="ru-RU" w:bidi="ru-RU"/>
        </w:rPr>
        <w:t xml:space="preserve">представителя </w:t>
      </w:r>
      <w:r>
        <w:rPr>
          <w:color w:val="303033"/>
          <w:spacing w:val="0"/>
          <w:w w:val="100"/>
          <w:position w:val="0"/>
          <w:sz w:val="24"/>
          <w:szCs w:val="24"/>
          <w:shd w:val="clear" w:color="auto" w:fill="auto"/>
          <w:lang w:val="ru-RU" w:eastAsia="ru-RU" w:bidi="ru-RU"/>
        </w:rPr>
        <w:t xml:space="preserve">заказчика: (доверенность </w:t>
      </w:r>
      <w:r>
        <w:rPr>
          <w:color w:val="000000"/>
          <w:spacing w:val="0"/>
          <w:w w:val="100"/>
          <w:position w:val="0"/>
          <w:sz w:val="24"/>
          <w:szCs w:val="24"/>
          <w:shd w:val="clear" w:color="auto" w:fill="auto"/>
          <w:lang w:val="ru-RU" w:eastAsia="ru-RU" w:bidi="ru-RU"/>
        </w:rPr>
        <w:t>№1552 от 02.11.2023);</w:t>
      </w:r>
    </w:p>
    <w:p>
      <w:pPr>
        <w:pStyle w:val="Style19"/>
        <w:keepNext w:val="0"/>
        <w:keepLines w:val="0"/>
        <w:widowControl w:val="0"/>
        <w:shd w:val="clear" w:color="auto" w:fill="auto"/>
        <w:bidi w:val="0"/>
        <w:spacing w:before="0" w:after="280" w:line="240" w:lineRule="auto"/>
        <w:ind w:left="0" w:right="0" w:firstLine="860"/>
        <w:jc w:val="left"/>
      </w:pPr>
      <w:r>
        <w:rPr>
          <w:color w:val="303033"/>
          <w:spacing w:val="0"/>
          <w:w w:val="100"/>
          <w:position w:val="0"/>
          <w:sz w:val="24"/>
          <w:szCs w:val="24"/>
          <w:shd w:val="clear" w:color="auto" w:fill="auto"/>
          <w:lang w:val="ru-RU" w:eastAsia="ru-RU" w:bidi="ru-RU"/>
        </w:rPr>
        <w:t xml:space="preserve">в </w:t>
      </w:r>
      <w:r>
        <w:rPr>
          <w:color w:val="000000"/>
          <w:spacing w:val="0"/>
          <w:w w:val="100"/>
          <w:position w:val="0"/>
          <w:sz w:val="24"/>
          <w:szCs w:val="24"/>
          <w:shd w:val="clear" w:color="auto" w:fill="auto"/>
          <w:lang w:val="ru-RU" w:eastAsia="ru-RU" w:bidi="ru-RU"/>
        </w:rPr>
        <w:t xml:space="preserve">отсутствие представителя уполномоченного органа, заявителя, уведомленные </w:t>
      </w:r>
      <w:r>
        <w:rPr>
          <w:color w:val="303033"/>
          <w:spacing w:val="0"/>
          <w:w w:val="100"/>
          <w:position w:val="0"/>
          <w:sz w:val="24"/>
          <w:szCs w:val="24"/>
          <w:shd w:val="clear" w:color="auto" w:fill="auto"/>
          <w:lang w:val="ru-RU" w:eastAsia="ru-RU" w:bidi="ru-RU"/>
        </w:rPr>
        <w:t xml:space="preserve">надлежащим </w:t>
      </w:r>
      <w:r>
        <w:rPr>
          <w:color w:val="000000"/>
          <w:spacing w:val="0"/>
          <w:w w:val="100"/>
          <w:position w:val="0"/>
          <w:sz w:val="24"/>
          <w:szCs w:val="24"/>
          <w:shd w:val="clear" w:color="auto" w:fill="auto"/>
          <w:lang w:val="ru-RU" w:eastAsia="ru-RU" w:bidi="ru-RU"/>
        </w:rPr>
        <w:t>образом о дате, времени и месте рассмотрения жалобы,</w:t>
      </w:r>
    </w:p>
    <w:p>
      <w:pPr>
        <w:pStyle w:val="Style26"/>
        <w:keepNext/>
        <w:keepLines/>
        <w:widowControl w:val="0"/>
        <w:shd w:val="clear" w:color="auto" w:fill="auto"/>
        <w:bidi w:val="0"/>
        <w:spacing w:before="0" w:line="240" w:lineRule="auto"/>
        <w:ind w:left="0" w:right="0" w:firstLine="0"/>
        <w:jc w:val="left"/>
      </w:pPr>
      <w:bookmarkStart w:id="10" w:name="bookmark10"/>
      <w:r>
        <w:rPr>
          <w:spacing w:val="0"/>
          <w:w w:val="100"/>
          <w:position w:val="0"/>
          <w:shd w:val="clear" w:color="auto" w:fill="auto"/>
          <w:lang w:val="ru-RU" w:eastAsia="ru-RU" w:bidi="ru-RU"/>
        </w:rPr>
        <w:t>111111111111111111111111</w:t>
      </w:r>
      <w:bookmarkEnd w:id="10"/>
    </w:p>
    <w:p>
      <w:pPr>
        <w:pStyle w:val="Style19"/>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№75/14 и приказом Смоленского УФАС России от 29.03.2023 №19/23, жалобу ООО «ФАРМ-СТ» (далее - Заявитель, Общество) и проведя внеплановую проверку,</w:t>
      </w:r>
    </w:p>
    <w:p>
      <w:pPr>
        <w:pStyle w:val="Style19"/>
        <w:keepNext w:val="0"/>
        <w:keepLines w:val="0"/>
        <w:widowControl w:val="0"/>
        <w:shd w:val="clear" w:color="auto" w:fill="auto"/>
        <w:bidi w:val="0"/>
        <w:spacing w:before="0" w:after="28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Смоленское УФАС России 30.10.2023 поступила жалоба ООО «ФАРМ-СТ», согласно которой Заказчиком при проведении электронного аукциона: «Поставка изделий медицинского назначения (помпа инфузионная инсулиновая амбулаторная) для нужд ОГБУЗ «Смоленская областная детская клиническая больница»» (извещение №0163200000323006661) были допущены нарушения Закона, а именно:</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под установленные технические характеристики к закупаемому товару «Помпа инфузионная инсулиновая амбулаторная» соответствует товар единственного производителя - МесИошс МпнМес! (страна - США), модель: «ММТ-720О»;</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не применены ограничения в соответствии с приказом Минфина России № 126н от 04.06.2018, постановлением Правительства РФ от 05.02.2015 №102, постановлением Правительства РФ от 30.04.2020 № 616.</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Государственным заказчиком по данному электронному аукциону является Областное государственное бюджетное учреждение здравоохранения «Смоленская областная детская клиническая больница» (далее - Заказчик), уполномоченным органом - Главное управление Смоленской области по регулированию контрактной системы.</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19"/>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20.10.2023 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z w:val="24"/>
          <w:szCs w:val="24"/>
          <w:shd w:val="clear" w:color="auto" w:fill="auto"/>
          <w:lang w:val="ru-RU" w:eastAsia="ru-RU" w:bidi="ru-RU"/>
        </w:rPr>
        <w:t>у/у/у/.2акирк1.§оу.ш</w:t>
      </w:r>
      <w:r>
        <w:fldChar w:fldCharType="end"/>
      </w:r>
      <w:r>
        <w:rPr>
          <w:color w:val="000000"/>
          <w:spacing w:val="0"/>
          <w:w w:val="100"/>
          <w:position w:val="0"/>
          <w:sz w:val="24"/>
          <w:szCs w:val="24"/>
          <w:shd w:val="clear" w:color="auto" w:fill="auto"/>
          <w:lang w:val="ru-RU" w:eastAsia="ru-RU" w:bidi="ru-RU"/>
        </w:rPr>
        <w:t xml:space="preserve"> размещено Извещение №0163200000323006661 о проведении электронного аукциона.</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(далее - НМЦК) - 2 530 000,00 рублей.</w:t>
      </w:r>
    </w:p>
    <w:p>
      <w:pPr>
        <w:pStyle w:val="Style19"/>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01.11.2023 №ИЭА1 на участие в электронном аукционе была подана 1 (одна) заявка участника закупки; данная заявка участника закупки была признана соответствующей требованиям Извещения и участник закупки (ООО «АСВ») получил право заключить государственный контракт.</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В соответствии с пунктом 3 части 1 статьи 3 Закона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Законом порядке заказчиком и направленных на</w:t>
        <w:br w:type="page"/>
      </w:r>
      <w:r>
        <w:rPr>
          <w:color w:val="000000"/>
          <w:spacing w:val="0"/>
          <w:w w:val="100"/>
          <w:position w:val="0"/>
          <w:sz w:val="24"/>
          <w:szCs w:val="24"/>
          <w:shd w:val="clear" w:color="auto" w:fill="auto"/>
          <w:lang w:val="ru-RU" w:eastAsia="ru-RU" w:bidi="ru-RU"/>
        </w:rPr>
        <w:t>обеспечение государственных или муниципальных нужд.</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частью 5 статьи 23 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части 6 статьи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Правила использования каталога товаров, работ, услуг для обеспечения государственных и муниципальных нужд (далее - Правила использования), утверждены постановлением Правительства РФ от 08.02.2017 № 145.</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2 Правил формирования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(ОКЦД2) ОК 034-2014 и включающий в себя информацию в соответствии с Правилами.</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19 Правил формирования в позиции каталога в соответствии со статьей 33 Закона может включаться дополнительная информация о конкретных товарах, работах, услугах, в том числе информация о характеристиках таких товаров, их производителях, торговых наименованиях, наименованиях мест происхождения товаров, ценах за единицу количества товара, объема работы, услуги и (или) ценах за единицу измерения количества товара, объема работы, услуги, условиях поставки товаров, выполнения работ, оказания услуг. Указанная информация формируется в том числе производителями и (или) поставщиками (подрядчиками, исполнителями). Основания и порядок формирования и включения такой информации в каталог определяются уполномоченным органом по согласованию с Федеральной антимонопольной службой.</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4 Правил использования заказчики обязаны применять информацию, включенную в позицию каталога в соответствии с подпунктами «б» - «г» и «е» - «з» пункта 10 Правил формирования, с указанной в ней даты начала обязательногс применения. При этом заказчик обязан при осуществлении закупки использовать</w:t>
        <w:br w:type="page"/>
      </w:r>
      <w:r>
        <w:rPr>
          <w:color w:val="000000"/>
          <w:spacing w:val="0"/>
          <w:w w:val="100"/>
          <w:position w:val="0"/>
          <w:sz w:val="24"/>
          <w:szCs w:val="24"/>
          <w:shd w:val="clear" w:color="auto" w:fill="auto"/>
          <w:lang w:val="ru-RU" w:eastAsia="ru-RU" w:bidi="ru-RU"/>
        </w:rPr>
        <w:t>информацию, включенную в соответствующую позицию, в том числе указывать согласно такой позиции следующую информацию:</w:t>
      </w:r>
    </w:p>
    <w:p>
      <w:pPr>
        <w:pStyle w:val="Style19"/>
        <w:keepNext w:val="0"/>
        <w:keepLines w:val="0"/>
        <w:widowControl w:val="0"/>
        <w:numPr>
          <w:ilvl w:val="0"/>
          <w:numId w:val="3"/>
        </w:numPr>
        <w:shd w:val="clear" w:color="auto" w:fill="auto"/>
        <w:tabs>
          <w:tab w:pos="105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9"/>
        <w:keepNext w:val="0"/>
        <w:keepLines w:val="0"/>
        <w:widowControl w:val="0"/>
        <w:numPr>
          <w:ilvl w:val="0"/>
          <w:numId w:val="3"/>
        </w:numPr>
        <w:shd w:val="clear" w:color="auto" w:fill="auto"/>
        <w:tabs>
          <w:tab w:pos="104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9"/>
        <w:keepNext w:val="0"/>
        <w:keepLines w:val="0"/>
        <w:widowControl w:val="0"/>
        <w:numPr>
          <w:ilvl w:val="0"/>
          <w:numId w:val="3"/>
        </w:numPr>
        <w:shd w:val="clear" w:color="auto" w:fill="auto"/>
        <w:tabs>
          <w:tab w:pos="106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9"/>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пункту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19"/>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9"/>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извещение об осуществлении закупки, если иное не предусмотрено Законом, должно содержать описание объекта закупки в соответствии со статьей 33 Закона.</w:t>
      </w:r>
    </w:p>
    <w:p>
      <w:pPr>
        <w:pStyle w:val="Style19"/>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пунктам 1, 2 части 1 статьи 33 Закона заказчик в случаях, предусмотренных Законом, при описании объекта закупки должен руководствоваться следующими правилами:</w:t>
      </w:r>
    </w:p>
    <w:p>
      <w:pPr>
        <w:pStyle w:val="Style19"/>
        <w:keepNext w:val="0"/>
        <w:keepLines w:val="0"/>
        <w:widowControl w:val="0"/>
        <w:numPr>
          <w:ilvl w:val="0"/>
          <w:numId w:val="5"/>
        </w:numPr>
        <w:shd w:val="clear" w:color="auto" w:fill="auto"/>
        <w:tabs>
          <w:tab w:pos="102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(пункт 1);</w:t>
      </w:r>
    </w:p>
    <w:p>
      <w:pPr>
        <w:pStyle w:val="Style19"/>
        <w:keepNext w:val="0"/>
        <w:keepLines w:val="0"/>
        <w:widowControl w:val="0"/>
        <w:numPr>
          <w:ilvl w:val="0"/>
          <w:numId w:val="5"/>
        </w:numPr>
        <w:shd w:val="clear" w:color="auto" w:fill="auto"/>
        <w:tabs>
          <w:tab w:pos="102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w:t>
      </w:r>
      <w:r>
        <w:rPr>
          <w:color w:val="000000"/>
          <w:spacing w:val="0"/>
          <w:w w:val="100"/>
          <w:position w:val="0"/>
          <w:sz w:val="24"/>
          <w:szCs w:val="24"/>
          <w:shd w:val="clear" w:color="auto" w:fill="auto"/>
          <w:lang w:val="ru-RU" w:eastAsia="ru-RU" w:bidi="ru-RU"/>
        </w:rPr>
        <w:t>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2).</w:t>
      </w:r>
    </w:p>
    <w:p>
      <w:pPr>
        <w:pStyle w:val="Style19"/>
        <w:keepNext w:val="0"/>
        <w:keepLines w:val="0"/>
        <w:widowControl w:val="0"/>
        <w:shd w:val="clear" w:color="auto" w:fill="auto"/>
        <w:bidi w:val="0"/>
        <w:spacing w:before="0" w:after="280" w:line="254"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Объектом рассматриваемой закупки является поставка изделий медицинского назначения (помпа инфузионная инсулиновая амбулаторная) для нужд ОГБУЗ «Смоленская областная детская клиническая больница».</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Описание объекта закупки содержится в приложении к Извещению (далее - Техническое задание).</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Из Технического задания следует, что Заказчиком закупается «Помпа инфузионная инсулиновая амбулаторная» (код позиции КТРУ 32.50.50.190-00000385).</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сведениям, размещенным в каталоге товаров, работ, услуг для обеспечения государственных и муниципальных нужд на сайте единой информационной системы код КТРУ 32.50.50.190-00000385 «Помпа инфузионная инсулиновая амбулаторная» имеет следующее назначение: «Значение классификатора: 207640: Помпа инсулиновая инфузионная амбулаторная, электронная; описание по классификатору: Портативное работающее от батареи электронное устройство, разработанное для обеспечения непрерывной или периодической подкожной доставки инсулина пациенту с сахарным диабетом. Устройство может быть в форме бейджа, приклеиваемого к коже или одежде (например, на пластыре), или носиться в чехле, прикрепляемом к ремню, или в кармане. Включает резервуар (например, картридж, как в шприце), помповый механизм и контроллер скорости инфузии. Помпа используется для инфузии микродоз и/или болюсного введения инсулина подкожно, как правило, в брюшную полость при помощи иглы или катетера (не относящихся к данному виду)».</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Данный код КТРУ включен в каталог - 18.03.2019; обязателен к применению с 01.07.2019.</w:t>
      </w:r>
    </w:p>
    <w:p>
      <w:pPr>
        <w:pStyle w:val="Style19"/>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При этом в позиции кода 32.50.50.190-00000385 отсутствуют функциональные характеристики товара (обязательные (рекомендуемые)), которые заказчики должны установить при формировании описания объекта закупки, что позволяет заказчикам самостоятельно определять технические характеристики, закупаемого товара, но в рамках функционального назначения оборудования, соответствующего указанному коду КТРУ и с учетом требований статьи 33 Закона.</w:t>
      </w:r>
    </w:p>
    <w:p>
      <w:pPr>
        <w:pStyle w:val="Style19"/>
        <w:keepNext w:val="0"/>
        <w:keepLines w:val="0"/>
        <w:widowControl w:val="0"/>
        <w:shd w:val="clear" w:color="auto" w:fill="auto"/>
        <w:bidi w:val="0"/>
        <w:spacing w:before="0" w:after="28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пояснениям представителя Заказчика, в Техническом задании отражены технические характеристики, которые необходимы для Заказчика, в частности, использование таких дополнительных функций и возможностей как «автоматический калькулятор болюса», «временная базальная скорость» и «считывание данных с инсулиновой помпы» способствует лучшим показателям гликемии, эффективному и безопасному достижению целевого уровня НЬА1с, снижению частоты и вариабельности гликемии. Неправильный подсчет дозы инсулина является одним из факторов повышенной вариабельности глюкозы у пациентов (детей) в течение дня. Вариабельность глюкозы - значимый предиктор диабетических осложнений сахарным диабетом, который напрямую связан с риском развития ретинопатии, нефропатии и </w:t>
      </w:r>
      <w:r>
        <w:rPr>
          <w:color w:val="000000"/>
          <w:spacing w:val="0"/>
          <w:w w:val="100"/>
          <w:position w:val="0"/>
          <w:sz w:val="24"/>
          <w:szCs w:val="24"/>
          <w:shd w:val="clear" w:color="auto" w:fill="auto"/>
          <w:lang w:val="ru-RU" w:eastAsia="ru-RU" w:bidi="ru-RU"/>
        </w:rPr>
        <w:t>сердечно-сосудистых осложнений. Оборудование (медицинское изделие), имеющее указанные функции, позволяет оказывать максимально эффективное лечение детей в рамках высокотехнологичной медицинской помощи.</w:t>
      </w:r>
    </w:p>
    <w:p>
      <w:pPr>
        <w:pStyle w:val="Style19"/>
        <w:keepNext w:val="0"/>
        <w:keepLines w:val="0"/>
        <w:widowControl w:val="0"/>
        <w:shd w:val="clear" w:color="auto" w:fill="auto"/>
        <w:bidi w:val="0"/>
        <w:spacing w:before="0" w:after="0" w:line="254" w:lineRule="auto"/>
        <w:ind w:left="0" w:right="0" w:firstLine="600"/>
        <w:jc w:val="both"/>
      </w:pPr>
      <w:r>
        <w:rPr>
          <w:color w:val="000000"/>
          <w:spacing w:val="0"/>
          <w:w w:val="100"/>
          <w:position w:val="0"/>
          <w:sz w:val="24"/>
          <w:szCs w:val="24"/>
          <w:shd w:val="clear" w:color="auto" w:fill="auto"/>
          <w:lang w:val="ru-RU" w:eastAsia="ru-RU" w:bidi="ru-RU"/>
        </w:rPr>
        <w:t>В ходе анализа Технического задания, Комиссией Управления установлено, что код КТРУ 32.50.50.190-00000385 «Помпа инфузионная инсулиновая амбулаторная» выбран Заказчиком в соответствии с его потребностями и функциональным назначением закупаемого оборудования; описание объекта спорной закупки составлено Заказчиком в соответствии с требованиями статьи 33 Закона.</w:t>
      </w:r>
    </w:p>
    <w:p>
      <w:pPr>
        <w:pStyle w:val="Style19"/>
        <w:keepNext w:val="0"/>
        <w:keepLines w:val="0"/>
        <w:widowControl w:val="0"/>
        <w:shd w:val="clear" w:color="auto" w:fill="auto"/>
        <w:bidi w:val="0"/>
        <w:spacing w:before="0" w:after="280" w:line="254" w:lineRule="auto"/>
        <w:ind w:left="0" w:right="0" w:firstLine="600"/>
        <w:jc w:val="both"/>
      </w:pPr>
      <w:r>
        <w:rPr>
          <w:color w:val="000000"/>
          <w:spacing w:val="0"/>
          <w:w w:val="100"/>
          <w:position w:val="0"/>
          <w:sz w:val="24"/>
          <w:szCs w:val="24"/>
          <w:shd w:val="clear" w:color="auto" w:fill="auto"/>
          <w:lang w:val="ru-RU" w:eastAsia="ru-RU" w:bidi="ru-RU"/>
        </w:rPr>
        <w:t>Доказательств того, что установленные характеристики к закупаемому оборудованию для Заказчика не являются важными Заявителем не представлено.</w:t>
      </w:r>
    </w:p>
    <w:p>
      <w:pPr>
        <w:pStyle w:val="Style19"/>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В связи с изложенным, первый довод жалобы Заявителя признается необоснованным.</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Согласно пункту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частью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w:t>
      </w:r>
      <w:r>
        <w:rPr>
          <w:color w:val="000000"/>
          <w:spacing w:val="0"/>
          <w:w w:val="100"/>
          <w:position w:val="0"/>
          <w:sz w:val="24"/>
          <w:szCs w:val="24"/>
          <w:shd w:val="clear" w:color="auto" w:fill="auto"/>
          <w:lang w:val="ru-RU" w:eastAsia="ru-RU" w:bidi="ru-RU"/>
        </w:rPr>
        <w:t>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05.02.2015 № 102 утверждены ограничения и условия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Постановлением №102 установлены:</w:t>
      </w:r>
    </w:p>
    <w:p>
      <w:pPr>
        <w:pStyle w:val="Style19"/>
        <w:keepNext w:val="0"/>
        <w:keepLines w:val="0"/>
        <w:widowControl w:val="0"/>
        <w:numPr>
          <w:ilvl w:val="0"/>
          <w:numId w:val="7"/>
        </w:numPr>
        <w:shd w:val="clear" w:color="auto" w:fill="auto"/>
        <w:tabs>
          <w:tab w:pos="95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№1);</w:t>
      </w:r>
    </w:p>
    <w:p>
      <w:pPr>
        <w:pStyle w:val="Style19"/>
        <w:keepNext w:val="0"/>
        <w:keepLines w:val="0"/>
        <w:widowControl w:val="0"/>
        <w:numPr>
          <w:ilvl w:val="0"/>
          <w:numId w:val="7"/>
        </w:numPr>
        <w:shd w:val="clear" w:color="auto" w:fill="auto"/>
        <w:tabs>
          <w:tab w:pos="95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№2).</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30.04.2020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 Постановления №616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перечень).</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2 Постановления №616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части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оз 04.06.2018 № 126н (далее - Приказ № 126н).</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w:t>
      </w:r>
      <w:r>
        <w:rPr>
          <w:color w:val="000000"/>
          <w:spacing w:val="0"/>
          <w:w w:val="100"/>
          <w:position w:val="0"/>
          <w:sz w:val="24"/>
          <w:szCs w:val="24"/>
          <w:u w:val="single"/>
          <w:shd w:val="clear" w:color="auto" w:fill="auto"/>
          <w:lang w:val="ru-RU" w:eastAsia="ru-RU" w:bidi="ru-RU"/>
        </w:rPr>
        <w:t>дп</w:t>
      </w:r>
      <w:r>
        <w:rPr>
          <w:color w:val="000000"/>
          <w:spacing w:val="0"/>
          <w:w w:val="100"/>
          <w:position w:val="0"/>
          <w:sz w:val="24"/>
          <w:szCs w:val="24"/>
          <w:shd w:val="clear" w:color="auto" w:fill="auto"/>
          <w:lang w:val="ru-RU" w:eastAsia="ru-RU" w:bidi="ru-RU"/>
        </w:rPr>
        <w:t>унктом 1.1 пункта 1 Приказа №126н установлены следующие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№1, приложении №2 к данному приказу (далее при совместном упоминании - Приложения):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№1, в размере 20 процентов в отношении товаров, указанных в приложении №2 и закупаемых при реализации национальных проектов (программ), в соответствии с подпунктами 1.2 и 1.3 пункта 1 данного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пункта 2 Приказа №126н положения подпунктов 1.1 - 1.3 пункта 1 данного приказа не применяются при проведении конкурса, аукциона, запроса котировок в электронной форме в случае, если конкурс, аукцион, запрос котировок в электронной форме признается не состоявшимся в случаях, предусмотренных Законом.</w:t>
      </w:r>
    </w:p>
    <w:p>
      <w:pPr>
        <w:pStyle w:val="Style19"/>
        <w:keepNext w:val="0"/>
        <w:keepLines w:val="0"/>
        <w:widowControl w:val="0"/>
        <w:shd w:val="clear" w:color="auto" w:fill="auto"/>
        <w:bidi w:val="0"/>
        <w:spacing w:before="0" w:after="260"/>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1 статьи 52 Закона открытый конкурентный способ признается не состоявшимся в случае если по окончании срока подачи заявок на участие в закупке подана только одна заявка на участие в закупке.</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Как указано выше, Заказчиком закупается «Помпа инфузионная инсулиновая амбулаторная» с кодом позиции КТРУ 32.50.50.190-00000385 (код ОКПД2 32.50.50.190), которому соответствует идентификационный уникальный номер записи вида медицинского изделия по номенклатурной классификации медицинских изделий по видам: 207640: «Помпа инсулиновая инфузионная амбулаторная, электронная».</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Комиссией Управления были установлены следующие обстоятельства:</w:t>
      </w:r>
    </w:p>
    <w:p>
      <w:pPr>
        <w:pStyle w:val="Style19"/>
        <w:keepNext w:val="0"/>
        <w:keepLines w:val="0"/>
        <w:widowControl w:val="0"/>
        <w:numPr>
          <w:ilvl w:val="0"/>
          <w:numId w:val="9"/>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код ОКПД2 32.50.50.190 входит в перечень №2 Постановления №102.</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этом, согласно примечанию к Постановлению №102 при применении настоящего перечня следует руководствоваться указанными в соответствующих подразделе и пункте данного перечня классификационными признаками медицинского изделия, применимыми к закупаемому медицинскому изделию, а также кодами Общероссийского классификатора продукции по видам экономической деятельности (ОКПД2) ОК 034-2014 (КПЕС 2008) и (или) кодами вида медицинского изделия (далее - код вида медицинского изделия) в соответствии с номенклатурной классификацией медицинских изделий, утвержденной приказом Министерства здравоохранения Российской Федерации (НКМИ). Классификационные признаки медицинского изделия, указанные в каждом подразделе данного перечня, распространяются на все пункты данного подраздела. Для медицинских изделий, соответствующих классификационным признакам, указанным в данном перечне, допускается классификация кодами ОКПД2, указанными в применимом к продукции подразделе.</w:t>
      </w:r>
    </w:p>
    <w:p>
      <w:pPr>
        <w:pStyle w:val="Style19"/>
        <w:keepNext w:val="0"/>
        <w:keepLines w:val="0"/>
        <w:widowControl w:val="0"/>
        <w:shd w:val="clear" w:color="auto" w:fill="auto"/>
        <w:bidi w:val="0"/>
        <w:spacing w:before="0" w:after="260"/>
        <w:ind w:left="0" w:right="0" w:firstLine="720"/>
        <w:jc w:val="both"/>
      </w:pPr>
      <w:r>
        <w:rPr>
          <w:color w:val="000000"/>
          <w:spacing w:val="0"/>
          <w:w w:val="100"/>
          <w:position w:val="0"/>
          <w:sz w:val="24"/>
          <w:szCs w:val="24"/>
          <w:shd w:val="clear" w:color="auto" w:fill="auto"/>
          <w:lang w:val="ru-RU" w:eastAsia="ru-RU" w:bidi="ru-RU"/>
        </w:rPr>
        <w:t>Поскольку в рассматриваемой закупке код вида медицинского изделия (207640) в перечне №2 Постановления №102 отсутствует, ограничения в соответствии с данным нормативно-правовым актом правомерно не устанавливались.</w:t>
      </w:r>
    </w:p>
    <w:p>
      <w:pPr>
        <w:pStyle w:val="Style19"/>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код ОКПД2 32.50.50.190 также входит в перечень Постановления №616.</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147 указанного перечня данные ограничения в соответствии с Постановлением №616 распространяются на товар: Пробирки вакуумные для взятия образцов</w:t>
        <w:br w:type="page"/>
      </w:r>
      <w:r>
        <w:rPr>
          <w:color w:val="000000"/>
          <w:spacing w:val="0"/>
          <w:w w:val="100"/>
          <w:position w:val="0"/>
          <w:sz w:val="24"/>
          <w:szCs w:val="24"/>
          <w:shd w:val="clear" w:color="auto" w:fill="auto"/>
          <w:lang w:val="ru-RU" w:eastAsia="ru-RU" w:bidi="ru-RU"/>
        </w:rPr>
        <w:t>крови ИВД, соответствующие кодам вида медицинского изделия - 293640; 293630; 293700; 293780; 293540; 293760;293480;293400.</w:t>
      </w:r>
    </w:p>
    <w:p>
      <w:pPr>
        <w:pStyle w:val="Style19"/>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Ввиду того, что в рассматриваемом случае код вида медицинского изделия (207640) в пункте 147 перечня отсутствует, запрет на допуск промышленных товаров, происходящих из иностранных государств в рамках Постановления №616 также правомерно не устанавливался.</w:t>
      </w:r>
    </w:p>
    <w:p>
      <w:pPr>
        <w:pStyle w:val="Style19"/>
        <w:keepNext w:val="0"/>
        <w:keepLines w:val="0"/>
        <w:widowControl w:val="0"/>
        <w:numPr>
          <w:ilvl w:val="0"/>
          <w:numId w:val="9"/>
        </w:numPr>
        <w:shd w:val="clear" w:color="auto" w:fill="auto"/>
        <w:tabs>
          <w:tab w:pos="110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Поскольку код ОКПД2 32.50.50.190 включен в приложение Приказа №126н, установленные Заказчиком в Извещении условия допуска товаров, происходящих из иностранного государства в соответствии с Приказом №126н, соответствуют действующему законодательству.</w:t>
      </w:r>
    </w:p>
    <w:p>
      <w:pPr>
        <w:pStyle w:val="Style19"/>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В рассматриваемом случае, в соответствии с подпунктом «а» пункта 2 Приказа №126н, положения Приказа №126н не подлежали применению, так как закупка признана несостоявшейся.</w:t>
      </w:r>
    </w:p>
    <w:p>
      <w:pPr>
        <w:pStyle w:val="Style19"/>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Таким образом, доводы Заявителя не нашли своего подтверждения.</w:t>
      </w:r>
    </w:p>
    <w:p>
      <w:pPr>
        <w:pStyle w:val="Style19"/>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9"/>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9"/>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«ФАРМ-СТ» на положения Извещения государственного заказчика - Областного государственного бюджетного учреждения здравоохранения «Смоленская областная детская клиническая больница», уполномоченного органа - Главного управления Смоленской области по регулированию контрактной системы при проведении электронного аукциона: «Поставка изделий медицинского назначения (помпа инфузионная инсулиновая амбулаторная) для нужд ОГБУЗ «Смоленская областная детская клиническая больница»» (извещение №0163200000323006661) необоснованной.</w:t>
      </w:r>
    </w:p>
    <w:p>
      <w:pPr>
        <w:pStyle w:val="Style19"/>
        <w:keepNext w:val="0"/>
        <w:keepLines w:val="0"/>
        <w:widowControl w:val="0"/>
        <w:shd w:val="clear" w:color="auto" w:fill="auto"/>
        <w:bidi w:val="0"/>
        <w:spacing w:before="0" w:after="580"/>
        <w:ind w:left="0" w:right="0" w:firstLine="720"/>
        <w:jc w:val="both"/>
      </w:pPr>
      <w:r>
        <w:drawing>
          <wp:anchor distT="0" distB="0" distL="114300" distR="114300" simplePos="0" relativeHeight="125829380" behindDoc="0" locked="0" layoutInCell="1" allowOverlap="1">
            <wp:simplePos x="0" y="0"/>
            <wp:positionH relativeFrom="page">
              <wp:posOffset>2741930</wp:posOffset>
            </wp:positionH>
            <wp:positionV relativeFrom="paragraph">
              <wp:posOffset>1244600</wp:posOffset>
            </wp:positionV>
            <wp:extent cx="2133600" cy="1657985"/>
            <wp:wrapSquare wrapText="left"/>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2133600" cy="1657985"/>
                    </a:xfrm>
                    <a:prstGeom prst="rect"/>
                  </pic:spPr>
                </pic:pic>
              </a:graphicData>
            </a:graphic>
          </wp:anchor>
        </w:drawing>
      </w: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9"/>
        <w:keepNext w:val="0"/>
        <w:keepLines w:val="0"/>
        <w:widowControl w:val="0"/>
        <w:shd w:val="clear" w:color="auto" w:fill="auto"/>
        <w:bidi w:val="0"/>
        <w:spacing w:before="0" w:after="580" w:line="240" w:lineRule="auto"/>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19"/>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r>
    </w:p>
    <w:sectPr>
      <w:footnotePr>
        <w:pos w:val="pageBottom"/>
        <w:numFmt w:val="decimal"/>
        <w:numRestart w:val="continuous"/>
      </w:footnotePr>
      <w:pgSz w:w="11900" w:h="16840"/>
      <w:pgMar w:top="857" w:right="442" w:bottom="786" w:left="105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737870</wp:posOffset>
              </wp:positionH>
              <wp:positionV relativeFrom="page">
                <wp:posOffset>9956165</wp:posOffset>
              </wp:positionV>
              <wp:extent cx="648970" cy="106680"/>
              <wp:wrapNone/>
              <wp:docPr id="4" name="Shape 4"/>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2023-3507</w:t>
                          </w:r>
                        </w:p>
                      </w:txbxContent>
                    </wps:txbx>
                    <wps:bodyPr wrap="none" lIns="0" tIns="0" rIns="0" bIns="0">
                      <a:spAutoFit/>
                    </wps:bodyPr>
                  </wps:wsp>
                </a:graphicData>
              </a:graphic>
            </wp:anchor>
          </w:drawing>
        </mc:Choice>
        <mc:Fallback>
          <w:pict>
            <v:shape id="_x0000_s1030" type="#_x0000_t202" style="position:absolute;margin-left:58.100000000000001pt;margin-top:783.95000000000005pt;width:51.1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918210</wp:posOffset>
              </wp:positionH>
              <wp:positionV relativeFrom="page">
                <wp:posOffset>9918065</wp:posOffset>
              </wp:positionV>
              <wp:extent cx="655320" cy="106680"/>
              <wp:wrapNone/>
              <wp:docPr id="6" name="Shape 6"/>
              <a:graphic xmlns:a="http://schemas.openxmlformats.org/drawingml/2006/main">
                <a:graphicData uri="http://schemas.microsoft.com/office/word/2010/wordprocessingShape">
                  <wps:wsp>
                    <wps:cNvSpPr txBox="1"/>
                    <wps:spPr>
                      <a:xfrm>
                        <a:ext cx="65532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303033"/>
                              <w:spacing w:val="0"/>
                              <w:w w:val="100"/>
                              <w:position w:val="0"/>
                              <w:sz w:val="24"/>
                              <w:szCs w:val="24"/>
                              <w:shd w:val="clear" w:color="auto" w:fill="auto"/>
                              <w:lang w:val="ru-RU" w:eastAsia="ru-RU" w:bidi="ru-RU"/>
                            </w:rPr>
                            <w:t>2023-3507</w:t>
                          </w:r>
                        </w:p>
                      </w:txbxContent>
                    </wps:txbx>
                    <wps:bodyPr wrap="none" lIns="0" tIns="0" rIns="0" bIns="0">
                      <a:spAutoFit/>
                    </wps:bodyPr>
                  </wps:wsp>
                </a:graphicData>
              </a:graphic>
            </wp:anchor>
          </w:drawing>
        </mc:Choice>
        <mc:Fallback>
          <w:pict>
            <v:shape id="_x0000_s1032" type="#_x0000_t202" style="position:absolute;margin-left:72.299999999999997pt;margin-top:780.95000000000005pt;width:51.60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303033"/>
                        <w:spacing w:val="0"/>
                        <w:w w:val="100"/>
                        <w:position w:val="0"/>
                        <w:sz w:val="24"/>
                        <w:szCs w:val="24"/>
                        <w:shd w:val="clear" w:color="auto" w:fill="auto"/>
                        <w:lang w:val="ru-RU" w:eastAsia="ru-RU" w:bidi="ru-RU"/>
                      </w:rPr>
                      <w:t>2023-3507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3947160</wp:posOffset>
              </wp:positionH>
              <wp:positionV relativeFrom="page">
                <wp:posOffset>675005</wp:posOffset>
              </wp:positionV>
              <wp:extent cx="64135" cy="106680"/>
              <wp:wrapNone/>
              <wp:docPr id="2" name="Shape 2"/>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10.80000000000001pt;margin-top:53.149999999999999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303033"/>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sz w:val="22"/>
      <w:szCs w:val="22"/>
      <w:u w:val="none"/>
    </w:rPr>
  </w:style>
  <w:style w:type="character" w:customStyle="1" w:styleId="CharStyle20">
    <w:name w:val="Основной текст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27">
    <w:name w:val="Заголовок №1_"/>
    <w:basedOn w:val="DefaultParagraphFont"/>
    <w:link w:val="Style26"/>
    <w:rPr>
      <w:rFonts w:ascii="Arial" w:eastAsia="Arial" w:hAnsi="Arial" w:cs="Arial"/>
      <w:b w:val="0"/>
      <w:bCs w:val="0"/>
      <w:i w:val="0"/>
      <w:iCs w:val="0"/>
      <w:smallCaps w:val="0"/>
      <w:strike w:val="0"/>
      <w:color w:val="303033"/>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307" w:lineRule="auto"/>
      <w:jc w:val="center"/>
    </w:pPr>
    <w:rPr>
      <w:rFonts w:ascii="Times New Roman" w:eastAsia="Times New Roman" w:hAnsi="Times New Roman" w:cs="Times New Roman"/>
      <w:b w:val="0"/>
      <w:bCs w:val="0"/>
      <w:i w:val="0"/>
      <w:iCs w:val="0"/>
      <w:smallCaps w:val="0"/>
      <w:strike w:val="0"/>
      <w:color w:val="303033"/>
      <w:sz w:val="16"/>
      <w:szCs w:val="16"/>
      <w:u w:val="none"/>
    </w:rPr>
  </w:style>
  <w:style w:type="paragraph" w:customStyle="1" w:styleId="Style8">
    <w:name w:val="Основной текст (2)"/>
    <w:basedOn w:val="Normal"/>
    <w:link w:val="CharStyle9"/>
    <w:pPr>
      <w:widowControl w:val="0"/>
      <w:shd w:val="clear" w:color="auto" w:fill="auto"/>
      <w:ind w:left="10"/>
    </w:pPr>
    <w:rPr>
      <w:rFonts w:ascii="Times New Roman" w:eastAsia="Times New Roman" w:hAnsi="Times New Roman" w:cs="Times New Roman"/>
      <w:b w:val="0"/>
      <w:bCs w:val="0"/>
      <w:i w:val="0"/>
      <w:iCs w:val="0"/>
      <w:smallCaps w:val="0"/>
      <w:strike w:val="0"/>
      <w:sz w:val="19"/>
      <w:szCs w:val="19"/>
      <w:u w:val="none"/>
    </w:rPr>
  </w:style>
  <w:style w:type="paragraph" w:customStyle="1" w:styleId="Style12">
    <w:name w:val="Заголовок №2"/>
    <w:basedOn w:val="Normal"/>
    <w:link w:val="CharStyle13"/>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Заголовок №3"/>
    <w:basedOn w:val="Normal"/>
    <w:link w:val="CharStyle18"/>
    <w:pPr>
      <w:widowControl w:val="0"/>
      <w:shd w:val="clear" w:color="auto" w:fill="auto"/>
      <w:ind w:left="2460"/>
      <w:outlineLvl w:val="2"/>
    </w:pPr>
    <w:rPr>
      <w:rFonts w:ascii="Times New Roman" w:eastAsia="Times New Roman" w:hAnsi="Times New Roman" w:cs="Times New Roman"/>
      <w:b/>
      <w:bCs/>
      <w:i w:val="0"/>
      <w:iCs w:val="0"/>
      <w:smallCaps w:val="0"/>
      <w:strike w:val="0"/>
      <w:sz w:val="22"/>
      <w:szCs w:val="22"/>
      <w:u w:val="none"/>
    </w:rPr>
  </w:style>
  <w:style w:type="paragraph" w:customStyle="1" w:styleId="Style19">
    <w:name w:val="Основной текст"/>
    <w:basedOn w:val="Normal"/>
    <w:link w:val="CharStyle2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3">
    <w:name w:val="Другое"/>
    <w:basedOn w:val="Normal"/>
    <w:link w:val="CharStyle24"/>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6">
    <w:name w:val="Заголовок №1"/>
    <w:basedOn w:val="Normal"/>
    <w:link w:val="CharStyle27"/>
    <w:pPr>
      <w:widowControl w:val="0"/>
      <w:shd w:val="clear" w:color="auto" w:fill="auto"/>
      <w:spacing w:after="280"/>
      <w:outlineLvl w:val="0"/>
    </w:pPr>
    <w:rPr>
      <w:rFonts w:ascii="Arial" w:eastAsia="Arial" w:hAnsi="Arial" w:cs="Arial"/>
      <w:b w:val="0"/>
      <w:bCs w:val="0"/>
      <w:i w:val="0"/>
      <w:iCs w:val="0"/>
      <w:smallCaps w:val="0"/>
      <w:strike w:val="0"/>
      <w:color w:val="303033"/>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