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«Медика»</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Сурская, д.16-18</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Нижний Новгород, 603081</w:t>
      </w:r>
    </w:p>
    <w:p>
      <w:pPr>
        <w:pStyle w:val="Style10"/>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2289" w:bottom="1217" w:left="1452" w:header="0" w:footer="3" w:gutter="0"/>
          <w:pgNumType w:start="1"/>
          <w:cols w:num="2" w:space="720" w:equalWidth="0">
            <w:col w:w="3542" w:space="1406"/>
            <w:col w:w="3211"/>
          </w:cols>
          <w:noEndnote/>
          <w:titlePg/>
          <w:rtlGutter w:val="0"/>
          <w:docGrid w:linePitch="360"/>
        </w:sectPr>
      </w:pPr>
      <w:r>
        <w:rPr>
          <w:color w:val="000000"/>
          <w:spacing w:val="0"/>
          <w:w w:val="100"/>
          <w:position w:val="0"/>
          <w:shd w:val="clear" w:color="auto" w:fill="auto"/>
          <w:lang w:val="ru-RU" w:eastAsia="ru-RU" w:bidi="ru-RU"/>
        </w:rPr>
        <w:t>9025997@таП.ги</w:t>
      </w:r>
    </w:p>
    <w:p>
      <w:pPr>
        <w:pStyle w:val="Style10"/>
        <w:keepNext w:val="0"/>
        <w:keepLines w:val="0"/>
        <w:widowControl w:val="0"/>
        <w:shd w:val="clear" w:color="auto" w:fill="auto"/>
        <w:bidi w:val="0"/>
        <w:spacing w:before="0" w:after="0" w:line="240" w:lineRule="auto"/>
        <w:ind w:left="1540" w:right="0" w:firstLine="0"/>
        <w:jc w:val="left"/>
      </w:pPr>
      <w:r>
        <mc:AlternateContent>
          <mc:Choice Requires="wps">
            <w:drawing>
              <wp:anchor distT="960120" distB="0" distL="114300" distR="2068195" simplePos="0" relativeHeight="125829378" behindDoc="0" locked="0" layoutInCell="1" allowOverlap="1">
                <wp:simplePos x="0" y="0"/>
                <wp:positionH relativeFrom="page">
                  <wp:posOffset>723900</wp:posOffset>
                </wp:positionH>
                <wp:positionV relativeFrom="paragraph">
                  <wp:posOffset>1099820</wp:posOffset>
                </wp:positionV>
                <wp:extent cx="307975" cy="152400"/>
                <wp:wrapSquare wrapText="right"/>
                <wp:docPr id="5" name="Shape 5"/>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wps:txbx>
                      <wps:bodyPr wrap="none" lIns="0" tIns="0" rIns="0" bIns="0">
                        <a:noAutoFit/>
                      </wps:bodyPr>
                    </wps:wsp>
                  </a:graphicData>
                </a:graphic>
              </wp:anchor>
            </w:drawing>
          </mc:Choice>
          <mc:Fallback>
            <w:pict>
              <v:shape id="_x0000_s1031" type="#_x0000_t202" style="position:absolute;margin-left:57.pt;margin-top:86.600000000000009pt;width:24.25pt;height:12.pt;z-index:-125829375;mso-wrap-distance-left:9.pt;mso-wrap-distance-top:75.600000000000009pt;mso-wrap-distance-right:162.84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v:textbox>
                <w10:wrap type="square" side="right" anchorx="page"/>
              </v:shape>
            </w:pict>
          </mc:Fallback>
        </mc:AlternateContent>
      </w:r>
      <w:r>
        <mc:AlternateContent>
          <mc:Choice Requires="wps">
            <w:drawing>
              <wp:anchor distT="0" distB="697865" distL="486410" distR="114300" simplePos="0" relativeHeight="125829380" behindDoc="0" locked="0" layoutInCell="1" allowOverlap="1">
                <wp:simplePos x="0" y="0"/>
                <wp:positionH relativeFrom="page">
                  <wp:posOffset>1096010</wp:posOffset>
                </wp:positionH>
                <wp:positionV relativeFrom="paragraph">
                  <wp:posOffset>139700</wp:posOffset>
                </wp:positionV>
                <wp:extent cx="1889760" cy="414655"/>
                <wp:wrapSquare wrapText="right"/>
                <wp:docPr id="7" name="Shape 7"/>
                <a:graphic xmlns:a="http://schemas.openxmlformats.org/drawingml/2006/main">
                  <a:graphicData uri="http://schemas.microsoft.com/office/word/2010/wordprocessingShape">
                    <wps:wsp>
                      <wps:cNvSpPr txBox="1"/>
                      <wps:spPr>
                        <a:xfrm>
                          <a:ext cx="1889760" cy="414655"/>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txbxContent>
                      </wps:txbx>
                      <wps:bodyPr lIns="0" tIns="0" rIns="0" bIns="0">
                        <a:noAutoFit/>
                      </wps:bodyPr>
                    </wps:wsp>
                  </a:graphicData>
                </a:graphic>
              </wp:anchor>
            </w:drawing>
          </mc:Choice>
          <mc:Fallback>
            <w:pict>
              <v:shape id="_x0000_s1033" type="#_x0000_t202" style="position:absolute;margin-left:86.299999999999997pt;margin-top:11.pt;width:148.80000000000001pt;height:32.649999999999999pt;z-index:-125829373;mso-wrap-distance-left:38.300000000000004pt;mso-wrap-distance-right:9.pt;mso-wrap-distance-bottom:54.950000000000003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txbxContent>
                </v:textbox>
                <w10:wrap type="square" side="right" anchorx="page"/>
              </v:shape>
            </w:pict>
          </mc:Fallback>
        </mc:AlternateContent>
      </w:r>
      <w:r>
        <w:rPr>
          <w:color w:val="000000"/>
          <w:spacing w:val="0"/>
          <w:w w:val="100"/>
          <w:position w:val="0"/>
          <w:shd w:val="clear" w:color="auto" w:fill="auto"/>
          <w:lang w:val="ru-RU" w:eastAsia="ru-RU" w:bidi="ru-RU"/>
        </w:rPr>
        <w:t>КГБУЗ «Красноярский краевой центр охраны материнства и детства № 2» ул. Лапенкова, д.15 г. Ачинск, 662161</w:t>
      </w:r>
    </w:p>
    <w:p>
      <w:pPr>
        <w:pStyle w:val="Style10"/>
        <w:keepNext w:val="0"/>
        <w:keepLines w:val="0"/>
        <w:widowControl w:val="0"/>
        <w:shd w:val="clear" w:color="auto" w:fill="auto"/>
        <w:bidi w:val="0"/>
        <w:spacing w:before="0" w:after="260" w:line="240" w:lineRule="auto"/>
        <w:ind w:left="1540" w:right="0" w:firstLine="0"/>
        <w:jc w:val="left"/>
      </w:pPr>
      <w:r>
        <w:rPr>
          <w:color w:val="000000"/>
          <w:spacing w:val="0"/>
          <w:w w:val="100"/>
          <w:position w:val="0"/>
          <w:shd w:val="clear" w:color="auto" w:fill="auto"/>
          <w:lang w:val="ru-RU" w:eastAsia="ru-RU" w:bidi="ru-RU"/>
        </w:rPr>
        <w:t>у11пЛ-дс11у@таП.1Т1</w:t>
      </w:r>
    </w:p>
    <w:p>
      <w:pPr>
        <w:pStyle w:val="Style10"/>
        <w:keepNext w:val="0"/>
        <w:keepLines w:val="0"/>
        <w:widowControl w:val="0"/>
        <w:shd w:val="clear" w:color="auto" w:fill="auto"/>
        <w:bidi w:val="0"/>
        <w:spacing w:before="0" w:after="0" w:line="240" w:lineRule="auto"/>
        <w:ind w:left="1540" w:right="0" w:firstLine="0"/>
        <w:jc w:val="left"/>
      </w:pPr>
      <w:r>
        <w:rPr>
          <w:color w:val="000000"/>
          <w:spacing w:val="0"/>
          <w:w w:val="100"/>
          <w:position w:val="0"/>
          <w:shd w:val="clear" w:color="auto" w:fill="auto"/>
          <w:lang w:val="ru-RU" w:eastAsia="ru-RU" w:bidi="ru-RU"/>
        </w:rPr>
        <w:t>ООО «РТС-Тендер»</w:t>
      </w:r>
    </w:p>
    <w:p>
      <w:pPr>
        <w:pStyle w:val="Style10"/>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ко@г18-1еп4ег.ги</w:t>
      </w:r>
    </w:p>
    <w:p>
      <w:pPr>
        <w:pStyle w:val="Style10"/>
        <w:keepNext w:val="0"/>
        <w:keepLines w:val="0"/>
        <w:widowControl w:val="0"/>
        <w:shd w:val="clear" w:color="auto" w:fill="auto"/>
        <w:bidi w:val="0"/>
        <w:spacing w:before="0" w:after="580" w:line="240" w:lineRule="auto"/>
        <w:ind w:left="5320" w:right="0" w:firstLine="0"/>
        <w:jc w:val="left"/>
      </w:pPr>
      <w:r>
        <w:rPr>
          <w:color w:val="000000"/>
          <w:spacing w:val="0"/>
          <w:w w:val="100"/>
          <w:position w:val="0"/>
          <w:shd w:val="clear" w:color="auto" w:fill="auto"/>
          <w:lang w:val="ru-RU" w:eastAsia="ru-RU" w:bidi="ru-RU"/>
        </w:rPr>
        <w:t>Закупка № 0319200069523000173</w:t>
      </w:r>
    </w:p>
    <w:p>
      <w:pPr>
        <w:pStyle w:val="Style10"/>
        <w:keepNext w:val="0"/>
        <w:keepLines w:val="0"/>
        <w:widowControl w:val="0"/>
        <w:shd w:val="clear" w:color="auto" w:fill="auto"/>
        <w:bidi w:val="0"/>
        <w:spacing w:before="0" w:after="260" w:line="240" w:lineRule="auto"/>
        <w:ind w:left="3820" w:right="0" w:firstLine="0"/>
        <w:jc w:val="left"/>
      </w:pPr>
      <w:r>
        <w:rPr>
          <w:color w:val="000000"/>
          <w:spacing w:val="0"/>
          <w:w w:val="100"/>
          <w:position w:val="0"/>
          <w:shd w:val="clear" w:color="auto" w:fill="auto"/>
          <w:lang w:val="ru-RU" w:eastAsia="ru-RU" w:bidi="ru-RU"/>
        </w:rPr>
        <w:t>РЕШЕНИЕ № 024/06/106-3077/2023</w:t>
      </w:r>
    </w:p>
    <w:p>
      <w:pPr>
        <w:pStyle w:val="Style10"/>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6155055</wp:posOffset>
                </wp:positionH>
                <wp:positionV relativeFrom="paragraph">
                  <wp:posOffset>12700</wp:posOffset>
                </wp:positionV>
                <wp:extent cx="984250" cy="228600"/>
                <wp:wrapSquare wrapText="left"/>
                <wp:docPr id="9" name="Shape 9"/>
                <a:graphic xmlns:a="http://schemas.openxmlformats.org/drawingml/2006/main">
                  <a:graphicData uri="http://schemas.microsoft.com/office/word/2010/wordprocessingShape">
                    <wps:wsp>
                      <wps:cNvSpPr txBox="1"/>
                      <wps:spPr>
                        <a:xfrm>
                          <a:ext cx="984250" cy="2286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5" type="#_x0000_t202" style="position:absolute;margin-left:484.65000000000003pt;margin-top:1.pt;width:77.5pt;height:18.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hd w:val="clear" w:color="auto" w:fill="auto"/>
          <w:lang w:val="ru-RU" w:eastAsia="ru-RU" w:bidi="ru-RU"/>
        </w:rPr>
        <w:t>03 ноября 2023 год</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 начальник аналитического отдела М.А. Дударева, члены Комиссии - начальник отдела М.А. Грицай, специалист-эксперт И.М. Болотова (далее - Комиссия), рассмотрев жалобу общества с ограниченной ответственностью «Медика» (далее - податель жалобы) на действия заказчика - Краевого государственного бюджетного учреждения здравоохранения «Красноярский краевой центр охраны материнства и детства № 2» (далее - заказчик), при определении поставщика (подрядчика, исполнителя) путем проведения открытого аукциона в электронной форме на право поставки изделий медицинского назначения (клеенка подкладная) субъектами малого предпринимательства, социально ориентированными некоммерческими организациям (далее - электронный аукцион), размещенного на электронной площадке ООО «РТС- Тендер»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адрес Красноярского УФАС России поступила жалоба ООО «Медика» на действия заказчика при проведении электронного аукциона на право поставки изделий медицинского назначения (клеенка подкладная) субъектами малого предпринимательства, социально ориентированными некоммерческими организациям, номер извещения о закупке 0319200069523000173.</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Существо жалобы: составление извещения с нарушением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адрес заказчика, подателя жалобы, оператора электронной площадки было направлено уведомление о содержании жалобы с информацией о месте и времени рассмотрения жалобы. 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было направлено ходатайство о рассмотрении жалобы в его отсутствие. Податель жалобы ходатайств не направлял, присутствие представителя не обеспечил.</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Доводом жалобы является нарушение заказчиком правил описания объекта закупки, а именно в отношении закупаемого товара установлены характеристики, которым по их совокупности соответствует изделие конкретного производителя.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путем проведения аукциона в электронной форме на право поставки изделий медицинского назначения (клеенка подкладная) субъектами малого предпринимательства, социально ориентированными некоммерческими организациям.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следующий электронный документ: описание объекта закупки в соответствии со статьей 33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подпункту «а» пункта 1 части 1 статьи 33 Закона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случае сопровождения такого указания словами «или эквивалент».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какому-либо из принципов, позволяя обеспечить возможность их соблюдения. При этом согласно статям 6,8,12 Закона о контрактной системе заказчику, в том числе при описании объекта закупки надлежит руководствоваться принципами </w:t>
      </w:r>
      <w:r>
        <w:rPr>
          <w:color w:val="000000"/>
          <w:spacing w:val="0"/>
          <w:w w:val="100"/>
          <w:position w:val="0"/>
          <w:shd w:val="clear" w:color="auto" w:fill="auto"/>
          <w:lang w:val="ru-RU" w:eastAsia="ru-RU" w:bidi="ru-RU"/>
        </w:rPr>
        <w:t>обеспечения конкуренции и результативности и эффективности осуществления закупок.</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описание объекта закупки должно отражать реальную, обоснованную, объективную потребность заказчика для целей:</w:t>
      </w:r>
    </w:p>
    <w:p>
      <w:pPr>
        <w:pStyle w:val="Style10"/>
        <w:keepNext w:val="0"/>
        <w:keepLines w:val="0"/>
        <w:widowControl w:val="0"/>
        <w:numPr>
          <w:ilvl w:val="0"/>
          <w:numId w:val="1"/>
        </w:numPr>
        <w:shd w:val="clear" w:color="auto" w:fill="auto"/>
        <w:tabs>
          <w:tab w:pos="83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закупки заказчиком товаров, которые в полной мере удовлетворят нужду заказчика;</w:t>
      </w:r>
    </w:p>
    <w:p>
      <w:pPr>
        <w:pStyle w:val="Style10"/>
        <w:keepNext w:val="0"/>
        <w:keepLines w:val="0"/>
        <w:widowControl w:val="0"/>
        <w:numPr>
          <w:ilvl w:val="0"/>
          <w:numId w:val="1"/>
        </w:numPr>
        <w:shd w:val="clear" w:color="auto" w:fill="auto"/>
        <w:tabs>
          <w:tab w:pos="80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обеспечения заказчиком исполнения принципа эффективности осуществления закупок;</w:t>
      </w:r>
    </w:p>
    <w:p>
      <w:pPr>
        <w:pStyle w:val="Style10"/>
        <w:keepNext w:val="0"/>
        <w:keepLines w:val="0"/>
        <w:widowControl w:val="0"/>
        <w:numPr>
          <w:ilvl w:val="0"/>
          <w:numId w:val="1"/>
        </w:numPr>
        <w:shd w:val="clear" w:color="auto" w:fill="auto"/>
        <w:tabs>
          <w:tab w:pos="83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 допуска нерационального расходования бюджетных средств заказчиком;</w:t>
      </w:r>
    </w:p>
    <w:p>
      <w:pPr>
        <w:pStyle w:val="Style10"/>
        <w:keepNext w:val="0"/>
        <w:keepLines w:val="0"/>
        <w:widowControl w:val="0"/>
        <w:numPr>
          <w:ilvl w:val="0"/>
          <w:numId w:val="1"/>
        </w:numPr>
        <w:shd w:val="clear" w:color="auto" w:fill="auto"/>
        <w:tabs>
          <w:tab w:pos="83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обеспечения заказчиком исполнения принципа обеспечения конкуренции;</w:t>
      </w:r>
    </w:p>
    <w:p>
      <w:pPr>
        <w:pStyle w:val="Style10"/>
        <w:keepNext w:val="0"/>
        <w:keepLines w:val="0"/>
        <w:widowControl w:val="0"/>
        <w:numPr>
          <w:ilvl w:val="0"/>
          <w:numId w:val="1"/>
        </w:numPr>
        <w:shd w:val="clear" w:color="auto" w:fill="auto"/>
        <w:tabs>
          <w:tab w:pos="83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 допуска необоснованного сокращения заказчиком числа участников закупок.</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Установление заказчиком любых параметров, характеристик, требований к товарам, может повлечь невозможность принятия участия того или иного юридического, физического лица в определении поставщика, ограничить число участников закупки, поскольку не все поставщики имеют возможность поставить товар соответствующий всем условиям извещения о проведении закупки. Однако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(муниципального) контракта и соответствующих, определенных с учетом данных целей, потребностей заказчика. При этом закон о контрактной системе не содержит норм, ограничивающих право заказчика включать в описание объекта закупки требования к объекту закупки, которые являются для него значимыми, равно как и норм, обязывающих заказчика устанавливать в таком описании,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отмечает, что вышеуказанные выводы коррелируют с многочисленной судебной практикой, в том числе, например, по делам №А34-1354/2021, №А33-15654/2022.</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относительно доводов подателя жалобы отмечает нижеследующее.</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4 статьи 23 Закона о контрактной системе наименование объекта закупки в случаях, предусмотренных Законом о контрактной системе, указывается в соответствии с каталогом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№145 (далее - Правила №145) следует, что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(далее - КТРУ) для обеспечения государственных и муниципальных нужд, утвержденных Правилами №145, с указанной в ней даты начала обязательного применения.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0"/>
        <w:keepNext w:val="0"/>
        <w:keepLines w:val="0"/>
        <w:widowControl w:val="0"/>
        <w:numPr>
          <w:ilvl w:val="0"/>
          <w:numId w:val="1"/>
        </w:numPr>
        <w:shd w:val="clear" w:color="auto" w:fill="auto"/>
        <w:tabs>
          <w:tab w:pos="9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согласно извещению о проведении закупки, к закупаемому товару - клеенке подкладной резинотканевой предъявляются следующие требования:</w:t>
      </w:r>
    </w:p>
    <w:p>
      <w:pPr>
        <w:pStyle w:val="Style10"/>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Длина рулона, м: &gt; 25;</w:t>
      </w:r>
    </w:p>
    <w:p>
      <w:pPr>
        <w:pStyle w:val="Style10"/>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Ткань-основа: синтетическая ткань;</w:t>
      </w:r>
    </w:p>
    <w:p>
      <w:pPr>
        <w:pStyle w:val="Style10"/>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Формат выпуска: рулон;</w:t>
      </w:r>
    </w:p>
    <w:p>
      <w:pPr>
        <w:pStyle w:val="Style10"/>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Ширина рулона, м: &gt; 1.4;</w:t>
      </w:r>
    </w:p>
    <w:p>
      <w:pPr>
        <w:pStyle w:val="Style10"/>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Покрытие лицевой стороны: ПВХ;</w:t>
      </w:r>
    </w:p>
    <w:p>
      <w:pPr>
        <w:pStyle w:val="Style10"/>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Свойства: теплопроводность, водонепроницаемость;</w:t>
      </w:r>
    </w:p>
    <w:p>
      <w:pPr>
        <w:pStyle w:val="Style10"/>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Эффект «холодного прикосновения»: отсутствует.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установила, что товар являющийся объектом закупки соответствует коду КТРУ 22.19.50.000-00000049 «Клеенка подкладная резинотканевая». Данный код позиции КТРУ содержит характеристики как обязательные к применению, так и не обязательные к применению, при этом к характеристикам, обязательным к применению отнесено указание спорной характеристики - ширины рулона.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код позиции КТРУ содержит несколько значений ширины рулона (единица измерения - метр) и выбирается заказчиком из следующих значений:</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0.75 и &lt; 0.8</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0.8 и &lt; 0.85</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0.85 и &lt; 0.9</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0.9 и &lt; 0.95</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0.95 и &lt; 1</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 и &lt; 1.1</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1.1 и &lt; 1.2</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1.2 и &lt; 1.3</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1.3 и &lt; 1.4</w:t>
      </w:r>
    </w:p>
    <w:p>
      <w:pPr>
        <w:pStyle w:val="Style10"/>
        <w:keepNext w:val="0"/>
        <w:keepLines w:val="0"/>
        <w:widowControl w:val="0"/>
        <w:numPr>
          <w:ilvl w:val="0"/>
          <w:numId w:val="1"/>
        </w:numPr>
        <w:shd w:val="clear" w:color="auto" w:fill="auto"/>
        <w:tabs>
          <w:tab w:pos="107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приходит к выводу о том, что требования к поставляемому товару в части установления спорного значения ширины рулона &gt; 1.4 метра установлены заказчиком в полном соответствии с требованиями Правил №145 и собственными потребностями.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обращает внимание на то, что, устанавливая требования к товарам, заказчик исходил из своей потребности, из назначения таких товаров, с учетом специфики деятельности.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в аукционе может участвовать неограниченное количество поставщиков. Участником закупки может выступать любое лицо, готовое поставить товар, отвечающий требованиям извещения и потребности заказчика. Объективные причины невозможности приобретения товара, требующегося заказчику, заявителем не представлены.</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заказчику при формировании описания объекта закупки надлежит соблюсти не только принцип обеспечения конкуренции, но и принцип эффективности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 этом принцип эффективности закупки может быть соблюден только при закупке заказчиком товаров, которые в полной мере отвечают потребности заказчика и его пациентов, а фактов ограничения конкуренции Комиссией установлено не было (что следует, в том числе из возможности неограниченного числа поставщиков принять участие </w:t>
      </w:r>
      <w:r>
        <w:rPr>
          <w:color w:val="000000"/>
          <w:spacing w:val="0"/>
          <w:w w:val="100"/>
          <w:position w:val="0"/>
          <w:shd w:val="clear" w:color="auto" w:fill="auto"/>
          <w:lang w:val="ru-RU" w:eastAsia="ru-RU" w:bidi="ru-RU"/>
        </w:rPr>
        <w:t>в закупке).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вышеизложенного, Комиссия Красноярского УФАС России приходит к выводу о том, что заказчик при формировании описания объекта закупки руководствовался объективной потребностью и при этом соблюдал условия о недопущении ограничения количества участников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указанные в описании объекта закупки показатели в полном объеме удовлетворяют потребности заказчика, что позволит заказчику успешно реализовывать свои функции.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Комиссия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закупки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 Указанная позиция нашла свое отражение в решении Арбитражного Суда Красноярского края по делу № А33-18074/2022.</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довод подателя жалобы не находит своего подтверждения.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Относительно указания в жалобе на то, что требуемый заказчику товар в настоящее время выпускается единственным производителем, Комиссия считает необходимым отметить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проанализировав заявки участников закупки установила, что в составе заявок участников, признанных соответствующими условиям извещения о закупке, помимо указанного подателем жалобы производителя ООО «Колорит» иными участниками закупки предложен к поставке товар производителя ЗАО «Витафарм», что подтверждено представленным в составе заявок регистрационным удостоверением №ФСР 2008/03468 от 18.04.2013 и свидетельствует о наличии как минимум двух производителей требуемого заказчику товара, и, как следствие, отсутствию ограничения конкуренции.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данный довод подателя жалобы не находит своего подтверждения.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«Медика» необоснованной.</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принятия.</w:t>
      </w:r>
    </w:p>
    <w:p>
      <w:pPr>
        <w:pStyle w:val="Style10"/>
        <w:keepNext w:val="0"/>
        <w:keepLines w:val="0"/>
        <w:widowControl w:val="0"/>
        <w:shd w:val="clear" w:color="auto" w:fill="auto"/>
        <w:tabs>
          <w:tab w:pos="8501" w:val="left"/>
        </w:tabs>
        <w:bidi w:val="0"/>
        <w:spacing w:before="0" w:after="260" w:line="240" w:lineRule="auto"/>
        <w:ind w:left="0" w:right="0" w:firstLine="0"/>
        <w:jc w:val="both"/>
      </w:pPr>
      <w:r>
        <w:rPr>
          <w:color w:val="000000"/>
          <w:spacing w:val="0"/>
          <w:w w:val="100"/>
          <w:position w:val="0"/>
          <w:shd w:val="clear" w:color="auto" w:fill="auto"/>
          <w:lang w:val="ru-RU" w:eastAsia="ru-RU" w:bidi="ru-RU"/>
        </w:rPr>
        <w:t>Председатель Комиссии</w:t>
        <w:tab/>
        <w:t>М.А. Дударева</w:t>
      </w:r>
    </w:p>
    <w:p>
      <w:pPr>
        <w:pStyle w:val="Style10"/>
        <w:keepNext w:val="0"/>
        <w:keepLines w:val="0"/>
        <w:widowControl w:val="0"/>
        <w:shd w:val="clear" w:color="auto" w:fill="auto"/>
        <w:tabs>
          <w:tab w:pos="8698" w:val="left"/>
        </w:tabs>
        <w:bidi w:val="0"/>
        <w:spacing w:before="0" w:after="260" w:line="240" w:lineRule="auto"/>
        <w:ind w:left="0" w:right="0" w:firstLine="0"/>
        <w:jc w:val="both"/>
      </w:pPr>
      <w:r>
        <w:rPr>
          <w:color w:val="000000"/>
          <w:spacing w:val="0"/>
          <w:w w:val="100"/>
          <w:position w:val="0"/>
          <w:shd w:val="clear" w:color="auto" w:fill="auto"/>
          <w:lang w:val="ru-RU" w:eastAsia="ru-RU" w:bidi="ru-RU"/>
        </w:rPr>
        <w:t>Члены Комиссии</w:t>
        <w:tab/>
        <w:t>М.А. Грицай</w:t>
      </w:r>
    </w:p>
    <w:p>
      <w:pPr>
        <w:pStyle w:val="Style10"/>
        <w:keepNext w:val="0"/>
        <w:keepLines w:val="0"/>
        <w:widowControl w:val="0"/>
        <w:shd w:val="clear" w:color="auto" w:fill="auto"/>
        <w:bidi w:val="0"/>
        <w:spacing w:before="0" w:after="1000" w:line="240" w:lineRule="auto"/>
        <w:ind w:left="0" w:right="0" w:firstLine="0"/>
        <w:jc w:val="right"/>
      </w:pPr>
      <w:r>
        <w:rPr>
          <w:color w:val="000000"/>
          <w:spacing w:val="0"/>
          <w:w w:val="100"/>
          <w:position w:val="0"/>
          <w:shd w:val="clear" w:color="auto" w:fill="auto"/>
          <w:lang w:val="ru-RU" w:eastAsia="ru-RU" w:bidi="ru-RU"/>
        </w:rPr>
        <w:t>И.М.Болотова</w:t>
      </w:r>
    </w:p>
    <w:p>
      <w:pPr>
        <w:pStyle w:val="Style1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исп.Болотова И.М. тел.8(391)2110144</w:t>
      </w:r>
    </w:p>
    <w:sectPr>
      <w:footnotePr>
        <w:pos w:val="pageBottom"/>
        <w:numFmt w:val="decimal"/>
        <w:numRestart w:val="continuous"/>
      </w:footnotePr>
      <w:type w:val="continuous"/>
      <w:pgSz w:w="11900" w:h="16840"/>
      <w:pgMar w:top="991" w:right="501" w:bottom="1197"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9996805</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2023-19589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7.14999999999998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2023-19589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2023-19589</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2023-19589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8"/>
      <w:szCs w:val="38"/>
      <w:u w:val="none"/>
    </w:rPr>
  </w:style>
  <w:style w:type="character" w:customStyle="1" w:styleId="CharStyle16">
    <w:name w:val="Основной текст (4)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Заголовок №1"/>
    <w:basedOn w:val="Normal"/>
    <w:link w:val="CharStyle14"/>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15">
    <w:name w:val="Основной текст (4)"/>
    <w:basedOn w:val="Normal"/>
    <w:link w:val="CharStyle16"/>
    <w:pPr>
      <w:widowControl w:val="0"/>
      <w:shd w:val="clear" w:color="auto" w:fill="auto"/>
      <w:spacing w:after="2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